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1" w:type="dxa"/>
        <w:tblInd w:w="-1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1"/>
        <w:gridCol w:w="8470"/>
      </w:tblGrid>
      <w:tr w:rsidR="00BA7E7E" w:rsidRPr="000E3DC1" w:rsidTr="0085430D">
        <w:trPr>
          <w:trHeight w:hRule="exact" w:val="793"/>
        </w:trPr>
        <w:tc>
          <w:tcPr>
            <w:tcW w:w="11351" w:type="dxa"/>
            <w:gridSpan w:val="2"/>
            <w:tcBorders>
              <w:top w:val="single" w:sz="32" w:space="0" w:color="A6A6A6"/>
              <w:left w:val="single" w:sz="30" w:space="0" w:color="A6A6A6"/>
              <w:bottom w:val="single" w:sz="32" w:space="0" w:color="A6A6A6"/>
              <w:right w:val="single" w:sz="30" w:space="0" w:color="A6A6A6"/>
            </w:tcBorders>
            <w:shd w:val="clear" w:color="auto" w:fill="A6A6A6"/>
            <w:vAlign w:val="center"/>
          </w:tcPr>
          <w:p w:rsidR="00BA7E7E" w:rsidRDefault="00BA7E7E" w:rsidP="00492579">
            <w:pPr>
              <w:widowControl w:val="0"/>
              <w:spacing w:after="0" w:line="235" w:lineRule="exact"/>
              <w:jc w:val="center"/>
              <w:rPr>
                <w:rFonts w:ascii="Trebuchet MS"/>
                <w:b/>
                <w:bCs/>
                <w:spacing w:val="-1"/>
                <w:sz w:val="21"/>
                <w:szCs w:val="21"/>
              </w:rPr>
            </w:pP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 xml:space="preserve">SISTEMA INSTITUCIONAL DE </w:t>
            </w:r>
            <w:r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GESTION DOCUMENTAL Y ARCHIVOS DE</w:t>
            </w: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 xml:space="preserve"> LA PROCURADURIA GENERAL DE LA REPUBLICA</w:t>
            </w:r>
          </w:p>
          <w:p w:rsidR="00BA7E7E" w:rsidRPr="000E3DC1" w:rsidRDefault="00BA7E7E" w:rsidP="00492579">
            <w:pPr>
              <w:widowControl w:val="0"/>
              <w:spacing w:after="0" w:line="235" w:lineRule="exact"/>
              <w:jc w:val="center"/>
              <w:rPr>
                <w:rFonts w:ascii="Trebuchet MS" w:hAnsi="Trebuchet MS" w:cs="Trebuchet MS"/>
                <w:sz w:val="21"/>
                <w:szCs w:val="21"/>
              </w:rPr>
            </w:pPr>
            <w:r w:rsidRPr="004E02BC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(en proceso de organizaci</w:t>
            </w:r>
            <w:r w:rsidRPr="004E02BC">
              <w:rPr>
                <w:rFonts w:ascii="Trebuchet MS" w:eastAsia="Times New Roman"/>
                <w:b/>
                <w:bCs/>
                <w:spacing w:val="-1"/>
                <w:sz w:val="21"/>
                <w:szCs w:val="21"/>
              </w:rPr>
              <w:t>ó</w:t>
            </w:r>
            <w:r w:rsidRPr="004E02BC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n y estructuraci</w:t>
            </w:r>
            <w:r w:rsidRPr="004E02BC">
              <w:rPr>
                <w:rFonts w:ascii="Trebuchet MS" w:eastAsia="Times New Roman"/>
                <w:b/>
                <w:bCs/>
                <w:spacing w:val="-1"/>
                <w:sz w:val="21"/>
                <w:szCs w:val="21"/>
              </w:rPr>
              <w:t>ó</w:t>
            </w:r>
            <w:r w:rsidRPr="004E02BC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n)</w:t>
            </w:r>
          </w:p>
        </w:tc>
      </w:tr>
      <w:tr w:rsidR="00BA7E7E" w:rsidRPr="000E3DC1" w:rsidTr="0085430D">
        <w:trPr>
          <w:trHeight w:hRule="exact" w:val="316"/>
        </w:trPr>
        <w:tc>
          <w:tcPr>
            <w:tcW w:w="2881" w:type="dxa"/>
            <w:tcBorders>
              <w:top w:val="single" w:sz="24" w:space="0" w:color="A6A6A6"/>
              <w:left w:val="single" w:sz="30" w:space="0" w:color="A6A6A6"/>
              <w:bottom w:val="single" w:sz="32" w:space="0" w:color="A6A6A6"/>
              <w:right w:val="single" w:sz="24" w:space="0" w:color="A6A6A6"/>
            </w:tcBorders>
            <w:shd w:val="clear" w:color="auto" w:fill="A6A6A6"/>
          </w:tcPr>
          <w:p w:rsidR="00BA7E7E" w:rsidRPr="000E3DC1" w:rsidRDefault="00BA7E7E" w:rsidP="000E3DC1">
            <w:pPr>
              <w:widowControl w:val="0"/>
              <w:spacing w:after="0" w:line="235" w:lineRule="exact"/>
              <w:ind w:left="27"/>
              <w:rPr>
                <w:rFonts w:ascii="Trebuchet MS" w:hAnsi="Trebuchet MS" w:cs="Trebuchet MS"/>
                <w:sz w:val="21"/>
                <w:szCs w:val="21"/>
                <w:lang w:val="en-US"/>
              </w:rPr>
            </w:pP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  <w:lang w:val="en-US"/>
              </w:rPr>
              <w:t>1.</w:t>
            </w:r>
          </w:p>
        </w:tc>
        <w:tc>
          <w:tcPr>
            <w:tcW w:w="8470" w:type="dxa"/>
            <w:tcBorders>
              <w:top w:val="single" w:sz="24" w:space="0" w:color="A6A6A6"/>
              <w:left w:val="single" w:sz="24" w:space="0" w:color="A6A6A6"/>
              <w:bottom w:val="single" w:sz="32" w:space="0" w:color="A6A6A6"/>
              <w:right w:val="single" w:sz="30" w:space="0" w:color="A6A6A6"/>
            </w:tcBorders>
            <w:shd w:val="clear" w:color="auto" w:fill="A6A6A6"/>
          </w:tcPr>
          <w:p w:rsidR="00BA7E7E" w:rsidRPr="000E3DC1" w:rsidRDefault="00BA7E7E" w:rsidP="00ED3961">
            <w:pPr>
              <w:widowControl w:val="0"/>
              <w:spacing w:after="0" w:line="235" w:lineRule="exact"/>
              <w:ind w:left="8"/>
              <w:rPr>
                <w:rFonts w:ascii="Trebuchet MS" w:hAnsi="Trebuchet MS" w:cs="Trebuchet MS"/>
                <w:sz w:val="21"/>
                <w:szCs w:val="21"/>
                <w:lang w:val="en-US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val="en-US"/>
              </w:rPr>
              <w:t xml:space="preserve">                   </w:t>
            </w:r>
            <w:r w:rsidRPr="000E3DC1">
              <w:rPr>
                <w:rFonts w:ascii="Trebuchet MS" w:hAnsi="Trebuchet MS" w:cs="Trebuchet MS"/>
                <w:b/>
                <w:bCs/>
                <w:sz w:val="21"/>
                <w:szCs w:val="21"/>
                <w:lang w:val="en-US"/>
              </w:rPr>
              <w:t>AREA</w:t>
            </w: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0E3DC1">
              <w:rPr>
                <w:rFonts w:ascii="Trebuchet MS" w:hAnsi="Trebuchet MS" w:cs="Trebuchet MS"/>
                <w:b/>
                <w:bCs/>
                <w:spacing w:val="-1"/>
                <w:sz w:val="21"/>
                <w:szCs w:val="21"/>
                <w:lang w:val="en-US"/>
              </w:rPr>
              <w:t>DE</w:t>
            </w:r>
            <w:r>
              <w:rPr>
                <w:rFonts w:ascii="Trebuchet MS" w:hAnsi="Trebuchet MS" w:cs="Trebuchet MS"/>
                <w:b/>
                <w:bCs/>
                <w:spacing w:val="-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1"/>
                <w:szCs w:val="21"/>
                <w:lang w:val="en-US"/>
              </w:rPr>
              <w:t>IDENTIFICACIÓN</w:t>
            </w:r>
          </w:p>
        </w:tc>
      </w:tr>
      <w:tr w:rsidR="00BA7E7E" w:rsidRPr="000E3DC1" w:rsidTr="0085430D">
        <w:trPr>
          <w:trHeight w:hRule="exact" w:val="1099"/>
        </w:trPr>
        <w:tc>
          <w:tcPr>
            <w:tcW w:w="2881" w:type="dxa"/>
            <w:tcBorders>
              <w:top w:val="single" w:sz="32" w:space="0" w:color="A6A6A6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E70FFE">
            <w:pPr>
              <w:widowControl w:val="0"/>
              <w:numPr>
                <w:ilvl w:val="1"/>
                <w:numId w:val="3"/>
              </w:numPr>
              <w:tabs>
                <w:tab w:val="left" w:pos="745"/>
              </w:tabs>
              <w:spacing w:before="132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Identifica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dor</w:t>
            </w:r>
          </w:p>
        </w:tc>
        <w:tc>
          <w:tcPr>
            <w:tcW w:w="8470" w:type="dxa"/>
            <w:tcBorders>
              <w:top w:val="single" w:sz="32" w:space="0" w:color="A6A6A6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84217D" w:rsidRDefault="00BA7E7E" w:rsidP="000E3DC1">
            <w:pPr>
              <w:widowControl w:val="0"/>
              <w:spacing w:before="2" w:after="0" w:line="19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A7E7E" w:rsidRPr="0084217D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4217D">
              <w:rPr>
                <w:rFonts w:ascii="Arial" w:hAnsi="Arial" w:cs="Arial"/>
                <w:spacing w:val="-1"/>
                <w:sz w:val="20"/>
                <w:szCs w:val="20"/>
              </w:rPr>
              <w:t>SV.SIGDA-PGR</w:t>
            </w:r>
          </w:p>
          <w:p w:rsidR="00BA7E7E" w:rsidRPr="0084217D" w:rsidRDefault="00BA7E7E" w:rsidP="00E70FFE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El Salvador, S</w:t>
            </w:r>
            <w:r w:rsidRPr="0084217D">
              <w:rPr>
                <w:rFonts w:ascii="Arial" w:hAnsi="Arial" w:cs="Arial"/>
                <w:spacing w:val="-1"/>
                <w:sz w:val="20"/>
                <w:szCs w:val="20"/>
              </w:rPr>
              <w:t xml:space="preserve">istema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Institucional de G</w:t>
            </w:r>
            <w:r w:rsidRPr="0084217D">
              <w:rPr>
                <w:rFonts w:ascii="Arial" w:hAnsi="Arial" w:cs="Arial"/>
                <w:spacing w:val="-1"/>
                <w:sz w:val="20"/>
                <w:szCs w:val="20"/>
              </w:rPr>
              <w:t xml:space="preserve">estión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Documental y A</w:t>
            </w:r>
            <w:r w:rsidRPr="0084217D">
              <w:rPr>
                <w:rFonts w:ascii="Arial" w:hAnsi="Arial" w:cs="Arial"/>
                <w:spacing w:val="-1"/>
                <w:sz w:val="20"/>
                <w:szCs w:val="20"/>
              </w:rPr>
              <w:t>rchivos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de la Procuraduría General de la República.</w:t>
            </w:r>
          </w:p>
        </w:tc>
      </w:tr>
      <w:tr w:rsidR="00BA7E7E" w:rsidRPr="000E3DC1" w:rsidTr="0085430D">
        <w:trPr>
          <w:trHeight w:hRule="exact" w:val="1222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Default="00BA7E7E" w:rsidP="007C45BA">
            <w:pPr>
              <w:widowControl w:val="0"/>
              <w:spacing w:before="84" w:after="0" w:line="244" w:lineRule="auto"/>
              <w:ind w:left="56" w:right="99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1.2.Forma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autorizada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del</w:t>
            </w:r>
          </w:p>
          <w:p w:rsidR="00BA7E7E" w:rsidRPr="000E3DC1" w:rsidRDefault="00BA7E7E" w:rsidP="007C45BA">
            <w:pPr>
              <w:widowControl w:val="0"/>
              <w:spacing w:before="84" w:after="0" w:line="244" w:lineRule="auto"/>
              <w:ind w:left="56" w:righ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Nombre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widowControl w:val="0"/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A7E7E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 xml:space="preserve">Sistema Institucional 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Gestión Documental y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>Archivos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(SIGDA)</w:t>
            </w:r>
          </w:p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El Salvador. Procuraduría General de la República.</w:t>
            </w:r>
          </w:p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E7E" w:rsidRPr="000E3DC1" w:rsidTr="0085430D">
        <w:trPr>
          <w:trHeight w:hRule="exact" w:val="805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Default="00BA7E7E" w:rsidP="007C45BA">
            <w:pPr>
              <w:widowControl w:val="0"/>
              <w:spacing w:before="50" w:after="0" w:line="243" w:lineRule="auto"/>
              <w:ind w:left="56" w:right="9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1.3.Forma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paralela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</w:p>
          <w:p w:rsidR="00BA7E7E" w:rsidRPr="000E3DC1" w:rsidRDefault="00BA7E7E" w:rsidP="007C45BA">
            <w:pPr>
              <w:widowControl w:val="0"/>
              <w:spacing w:before="50" w:after="0" w:line="243" w:lineRule="auto"/>
              <w:ind w:left="56" w:right="99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Default="00BA7E7E" w:rsidP="000E3DC1">
            <w:pPr>
              <w:widowControl w:val="0"/>
              <w:spacing w:before="173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de la Procuraduría General de la República</w:t>
            </w:r>
          </w:p>
          <w:p w:rsidR="00BA7E7E" w:rsidRPr="000E3DC1" w:rsidRDefault="00BA7E7E" w:rsidP="000E3DC1">
            <w:pPr>
              <w:widowControl w:val="0"/>
              <w:spacing w:before="173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Salvador, Unidad de Gestión Documental y Archivos, (UGDA)</w:t>
            </w:r>
          </w:p>
        </w:tc>
      </w:tr>
      <w:tr w:rsidR="00BA7E7E" w:rsidRPr="000E3DC1" w:rsidTr="0085430D">
        <w:trPr>
          <w:trHeight w:hRule="exact" w:val="908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widowControl w:val="0"/>
              <w:spacing w:before="8" w:after="0" w:line="1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A7E7E" w:rsidRPr="000E3DC1" w:rsidRDefault="00BA7E7E" w:rsidP="000E3DC1">
            <w:pPr>
              <w:widowControl w:val="0"/>
              <w:spacing w:after="0" w:line="244" w:lineRule="auto"/>
              <w:ind w:left="56" w:right="99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1.4.Otras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formas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del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Archivo General (1975-2010)</w:t>
            </w:r>
          </w:p>
          <w:p w:rsidR="00BA7E7E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>Archivo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de Procuraduría Auxiliar</w:t>
            </w:r>
          </w:p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Archivo de Unidad Administrativa</w:t>
            </w:r>
          </w:p>
          <w:p w:rsidR="00BA7E7E" w:rsidRPr="000E3DC1" w:rsidRDefault="00BA7E7E" w:rsidP="00726919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>Archivo</w:t>
            </w:r>
            <w:r w:rsidRPr="000E3DC1">
              <w:rPr>
                <w:rFonts w:ascii="Arial" w:hAnsi="Arial" w:cs="Arial"/>
                <w:spacing w:val="10"/>
                <w:sz w:val="20"/>
                <w:szCs w:val="20"/>
              </w:rPr>
              <w:t xml:space="preserve">s de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la PGR,   </w:t>
            </w:r>
          </w:p>
        </w:tc>
      </w:tr>
      <w:tr w:rsidR="00BA7E7E" w:rsidRPr="000E3DC1" w:rsidTr="0085430D">
        <w:trPr>
          <w:trHeight w:hRule="exact" w:val="1490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32" w:space="0" w:color="A6A6A6"/>
              <w:right w:val="single" w:sz="8" w:space="0" w:color="000000"/>
            </w:tcBorders>
          </w:tcPr>
          <w:p w:rsidR="00BA7E7E" w:rsidRPr="000E3DC1" w:rsidRDefault="00BA7E7E" w:rsidP="000E3DC1">
            <w:pPr>
              <w:widowControl w:val="0"/>
              <w:spacing w:before="79" w:after="0" w:line="244" w:lineRule="auto"/>
              <w:ind w:left="56" w:right="3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1.5.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conserva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los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fondos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archivo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32" w:space="0" w:color="A6A6A6"/>
              <w:right w:val="single" w:sz="6" w:space="0" w:color="000000"/>
            </w:tcBorders>
          </w:tcPr>
          <w:p w:rsidR="00BA7E7E" w:rsidRPr="000E3DC1" w:rsidRDefault="00BA7E7E" w:rsidP="00A6554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 xml:space="preserve"> República de El Salvador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Ministerio Público</w:t>
            </w:r>
          </w:p>
          <w:p w:rsidR="00BA7E7E" w:rsidRDefault="00BA7E7E" w:rsidP="00A655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2293">
              <w:rPr>
                <w:rFonts w:ascii="Arial" w:hAnsi="Arial" w:cs="Arial"/>
                <w:sz w:val="20"/>
                <w:szCs w:val="20"/>
              </w:rPr>
              <w:t>Procuraduría General de la República.</w:t>
            </w:r>
          </w:p>
          <w:p w:rsidR="00BA7E7E" w:rsidRDefault="00BA7E7E" w:rsidP="00A655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 xml:space="preserve">Sistema Institucional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Gestión Documental y </w:t>
            </w:r>
            <w:r w:rsidRPr="000E3DC1">
              <w:rPr>
                <w:rFonts w:ascii="Arial" w:hAnsi="Arial" w:cs="Arial"/>
                <w:sz w:val="20"/>
                <w:szCs w:val="20"/>
              </w:rPr>
              <w:t>Archivos</w:t>
            </w:r>
            <w:r>
              <w:rPr>
                <w:rFonts w:ascii="Arial" w:hAnsi="Arial" w:cs="Arial"/>
                <w:sz w:val="20"/>
                <w:szCs w:val="20"/>
              </w:rPr>
              <w:t>: intermedio, central e histórico.</w:t>
            </w:r>
          </w:p>
          <w:p w:rsidR="00BA7E7E" w:rsidRPr="000E3DC1" w:rsidRDefault="00BA7E7E" w:rsidP="00A655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Tipología: archivos de asistencia legal a las personas de escasos recursos y administrativos.</w:t>
            </w:r>
          </w:p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BA7E7E" w:rsidRPr="000E3DC1" w:rsidRDefault="00BA7E7E" w:rsidP="000E3DC1">
            <w:pPr>
              <w:widowControl w:val="0"/>
              <w:spacing w:before="17"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E7E" w:rsidRPr="000E3DC1" w:rsidTr="0085430D">
        <w:trPr>
          <w:trHeight w:hRule="exact" w:val="326"/>
        </w:trPr>
        <w:tc>
          <w:tcPr>
            <w:tcW w:w="2881" w:type="dxa"/>
            <w:tcBorders>
              <w:top w:val="single" w:sz="32" w:space="0" w:color="A6A6A6"/>
              <w:left w:val="single" w:sz="30" w:space="0" w:color="A6A6A6"/>
              <w:bottom w:val="single" w:sz="32" w:space="0" w:color="A6A6A6"/>
              <w:right w:val="single" w:sz="24" w:space="0" w:color="A6A6A6"/>
            </w:tcBorders>
            <w:shd w:val="clear" w:color="auto" w:fill="A6A6A6"/>
          </w:tcPr>
          <w:p w:rsidR="00BA7E7E" w:rsidRPr="000E3DC1" w:rsidRDefault="00BA7E7E" w:rsidP="000E3DC1">
            <w:pPr>
              <w:widowControl w:val="0"/>
              <w:spacing w:after="0" w:line="235" w:lineRule="exact"/>
              <w:ind w:left="27"/>
              <w:rPr>
                <w:rFonts w:ascii="Trebuchet MS" w:hAnsi="Trebuchet MS" w:cs="Trebuchet MS"/>
                <w:sz w:val="21"/>
                <w:szCs w:val="21"/>
                <w:lang w:val="en-US"/>
              </w:rPr>
            </w:pP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  <w:lang w:val="en-US"/>
              </w:rPr>
              <w:t>2.</w:t>
            </w:r>
          </w:p>
        </w:tc>
        <w:tc>
          <w:tcPr>
            <w:tcW w:w="8470" w:type="dxa"/>
            <w:tcBorders>
              <w:top w:val="single" w:sz="32" w:space="0" w:color="A6A6A6"/>
              <w:left w:val="single" w:sz="24" w:space="0" w:color="A6A6A6"/>
              <w:bottom w:val="single" w:sz="32" w:space="0" w:color="A6A6A6"/>
              <w:right w:val="single" w:sz="30" w:space="0" w:color="A6A6A6"/>
            </w:tcBorders>
            <w:shd w:val="clear" w:color="auto" w:fill="A6A6A6"/>
          </w:tcPr>
          <w:p w:rsidR="00BA7E7E" w:rsidRPr="000E3DC1" w:rsidRDefault="00BA7E7E" w:rsidP="008C5020">
            <w:pPr>
              <w:widowControl w:val="0"/>
              <w:spacing w:after="0" w:line="235" w:lineRule="exact"/>
              <w:ind w:right="3015"/>
              <w:rPr>
                <w:rFonts w:ascii="Trebuchet MS" w:hAnsi="Trebuchet MS" w:cs="Trebuchet MS"/>
                <w:sz w:val="21"/>
                <w:szCs w:val="21"/>
                <w:lang w:val="en-US"/>
              </w:rPr>
            </w:pPr>
            <w:r>
              <w:rPr>
                <w:rFonts w:ascii="Trebuchet MS" w:eastAsia="Times New Roman" w:cs="Trebuchet MS"/>
                <w:b/>
                <w:bCs/>
                <w:sz w:val="21"/>
                <w:szCs w:val="21"/>
                <w:lang w:val="en-US"/>
              </w:rPr>
              <w:t xml:space="preserve">                            </w:t>
            </w:r>
            <w:r w:rsidRPr="000E3DC1">
              <w:rPr>
                <w:rFonts w:ascii="Trebuchet MS" w:eastAsia="Times New Roman" w:cs="Trebuchet MS"/>
                <w:b/>
                <w:bCs/>
                <w:sz w:val="21"/>
                <w:szCs w:val="21"/>
                <w:lang w:val="en-US"/>
              </w:rPr>
              <w:t>AREA</w:t>
            </w:r>
            <w:r>
              <w:rPr>
                <w:rFonts w:ascii="Trebuchet MS" w:eastAsia="Times New Roman" w:cs="Trebuchet MS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0E3DC1">
              <w:rPr>
                <w:rFonts w:ascii="Trebuchet MS" w:eastAsia="Times New Roman" w:cs="Trebuchet MS"/>
                <w:b/>
                <w:bCs/>
                <w:sz w:val="21"/>
                <w:szCs w:val="21"/>
                <w:lang w:val="en-US"/>
              </w:rPr>
              <w:t>DE</w:t>
            </w:r>
            <w:r>
              <w:rPr>
                <w:rFonts w:ascii="Trebuchet MS" w:eastAsia="Times New Roman" w:cs="Trebuchet MS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  <w:lang w:val="en-US"/>
              </w:rPr>
              <w:t>CONTACTO</w:t>
            </w:r>
          </w:p>
        </w:tc>
      </w:tr>
      <w:tr w:rsidR="00BA7E7E" w:rsidRPr="004067C9" w:rsidTr="0085430D">
        <w:trPr>
          <w:trHeight w:hRule="exact" w:val="1608"/>
        </w:trPr>
        <w:tc>
          <w:tcPr>
            <w:tcW w:w="2881" w:type="dxa"/>
            <w:tcBorders>
              <w:top w:val="single" w:sz="32" w:space="0" w:color="A6A6A6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widowControl w:val="0"/>
              <w:spacing w:before="50" w:after="0" w:line="243" w:lineRule="auto"/>
              <w:ind w:left="56" w:righ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2.1.Localización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dirección</w:t>
            </w:r>
          </w:p>
        </w:tc>
        <w:tc>
          <w:tcPr>
            <w:tcW w:w="8470" w:type="dxa"/>
            <w:tcBorders>
              <w:top w:val="single" w:sz="32" w:space="0" w:color="A6A6A6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widowControl w:val="0"/>
              <w:spacing w:before="1" w:after="0" w:line="11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BA7E7E" w:rsidRPr="000E3DC1" w:rsidRDefault="00BA7E7E" w:rsidP="000E3DC1">
            <w:pPr>
              <w:widowControl w:val="0"/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Procuraduría General de la República.</w:t>
            </w:r>
          </w:p>
          <w:p w:rsidR="00BA7E7E" w:rsidRPr="000E3DC1" w:rsidRDefault="00BA7E7E" w:rsidP="00385E7B">
            <w:pPr>
              <w:widowControl w:val="0"/>
              <w:spacing w:after="0" w:line="200" w:lineRule="atLeas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9ª. Calle Pte. y 13 av. Nte.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 xml:space="preserve"> Centro de Gobierno,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San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Salvador</w:t>
            </w:r>
          </w:p>
          <w:p w:rsidR="00BA7E7E" w:rsidRDefault="00BA7E7E" w:rsidP="000E3DC1">
            <w:pPr>
              <w:widowControl w:val="0"/>
              <w:spacing w:after="0" w:line="243" w:lineRule="auto"/>
              <w:ind w:right="113"/>
              <w:rPr>
                <w:rFonts w:ascii="Trebuchet MS" w:hAnsi="Trebuchet MS" w:cs="Trebuchet MS"/>
                <w:sz w:val="21"/>
                <w:szCs w:val="21"/>
                <w:lang w:val="en-US"/>
              </w:rPr>
            </w:pPr>
            <w:r w:rsidRPr="004067C9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Sitio Web: www.pgr.gob.sv</w:t>
            </w:r>
          </w:p>
          <w:p w:rsidR="00BA7E7E" w:rsidRDefault="00BA7E7E" w:rsidP="000E3DC1">
            <w:pPr>
              <w:widowControl w:val="0"/>
              <w:spacing w:after="0" w:line="243" w:lineRule="auto"/>
              <w:ind w:right="113"/>
              <w:rPr>
                <w:rFonts w:ascii="Trebuchet MS" w:hAnsi="Trebuchet MS" w:cs="Trebuchet MS"/>
                <w:spacing w:val="41"/>
                <w:sz w:val="21"/>
                <w:szCs w:val="21"/>
                <w:lang w:val="en-US"/>
              </w:rPr>
            </w:pPr>
            <w:r>
              <w:rPr>
                <w:rFonts w:ascii="Trebuchet MS" w:hAnsi="Trebuchet MS" w:cs="Trebuchet MS"/>
                <w:sz w:val="21"/>
                <w:szCs w:val="21"/>
                <w:lang w:val="en-US"/>
              </w:rPr>
              <w:t>Tel: 2223-9517</w:t>
            </w:r>
          </w:p>
          <w:p w:rsidR="00BA7E7E" w:rsidRPr="004067C9" w:rsidRDefault="00BA7E7E" w:rsidP="000E3DC1">
            <w:pPr>
              <w:widowControl w:val="0"/>
              <w:spacing w:after="0" w:line="243" w:lineRule="auto"/>
              <w:ind w:right="113"/>
              <w:rPr>
                <w:rFonts w:ascii="Trebuchet MS" w:hAnsi="Trebuchet MS" w:cs="Trebuchet MS"/>
                <w:sz w:val="21"/>
                <w:szCs w:val="21"/>
                <w:lang w:val="en-US"/>
              </w:rPr>
            </w:pPr>
            <w:r>
              <w:rPr>
                <w:rFonts w:ascii="Trebuchet MS" w:hAnsi="Trebuchet MS" w:cs="Trebuchet MS"/>
                <w:spacing w:val="41"/>
                <w:sz w:val="21"/>
                <w:szCs w:val="21"/>
                <w:lang w:val="en-US"/>
              </w:rPr>
              <w:t>El Salvador</w:t>
            </w:r>
          </w:p>
        </w:tc>
      </w:tr>
      <w:tr w:rsidR="00BA7E7E" w:rsidRPr="000E3DC1" w:rsidTr="0085430D">
        <w:trPr>
          <w:trHeight w:hRule="exact" w:val="1403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widowControl w:val="0"/>
              <w:spacing w:before="50" w:after="0" w:line="244" w:lineRule="auto"/>
              <w:ind w:left="56" w:right="99"/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2.2.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>Personal de Contacto</w:t>
            </w:r>
          </w:p>
          <w:p w:rsidR="00BA7E7E" w:rsidRPr="000E3DC1" w:rsidRDefault="00BA7E7E" w:rsidP="000E3DC1">
            <w:pPr>
              <w:widowControl w:val="0"/>
              <w:spacing w:before="50" w:after="0" w:line="244" w:lineRule="auto"/>
              <w:ind w:left="56"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Oficial de Gestión Documental y Archivos: Immer Ayala; CE: </w:t>
            </w:r>
            <w:hyperlink r:id="rId7" w:history="1">
              <w:r w:rsidRPr="003236DD">
                <w:rPr>
                  <w:rStyle w:val="Hyperlink"/>
                  <w:rFonts w:ascii="Arial" w:hAnsi="Arial" w:cs="Arial"/>
                  <w:sz w:val="20"/>
                  <w:szCs w:val="20"/>
                </w:rPr>
                <w:t>Immer.ayala@pgr.gob.sv</w:t>
              </w:r>
            </w:hyperlink>
          </w:p>
          <w:p w:rsidR="00BA7E7E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Encargado Archivo Intermedio: José Efrain Rivera; CE: </w:t>
            </w:r>
            <w:hyperlink r:id="rId8" w:history="1">
              <w:r w:rsidRPr="003236DD">
                <w:rPr>
                  <w:rStyle w:val="Hyperlink"/>
                  <w:rFonts w:ascii="Arial" w:hAnsi="Arial" w:cs="Arial"/>
                  <w:sz w:val="20"/>
                  <w:szCs w:val="20"/>
                </w:rPr>
                <w:t>efrain.rivera@pgr.gob.sv</w:t>
              </w:r>
            </w:hyperlink>
          </w:p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Archivo Central: J. Rolando Pintin; Tel. 2223-5917</w:t>
            </w:r>
          </w:p>
        </w:tc>
      </w:tr>
      <w:tr w:rsidR="00BA7E7E" w:rsidRPr="000E3DC1" w:rsidTr="0085430D">
        <w:trPr>
          <w:trHeight w:hRule="exact" w:val="6818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30" w:space="0" w:color="A6A6A6"/>
              <w:right w:val="single" w:sz="8" w:space="0" w:color="000000"/>
            </w:tcBorders>
          </w:tcPr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2.3.Archivos </w:t>
            </w:r>
          </w:p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Periféricos y </w:t>
            </w:r>
          </w:p>
          <w:p w:rsidR="00BA7E7E" w:rsidRPr="000E3DC1" w:rsidRDefault="00BA7E7E" w:rsidP="000E3DC1">
            <w:pPr>
              <w:widowControl w:val="0"/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Especializados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30" w:space="0" w:color="A6A6A6"/>
              <w:right w:val="single" w:sz="6" w:space="0" w:color="000000"/>
            </w:tcBorders>
          </w:tcPr>
          <w:p w:rsidR="00BA7E7E" w:rsidRPr="00016595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 Departamento de</w:t>
            </w: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Ahuachapán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3ª calle oriente, No. 2-2, Barrio El Centro, Ahuachapán. Telf. 2413-4346</w:t>
            </w:r>
          </w:p>
          <w:p w:rsidR="00BA7E7E" w:rsidRPr="00016595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 Municipio de</w:t>
            </w: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Metapán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Av. Benjamín E. Valiente, entre 9ª y 11ª calle pte. No. 11. Telf. 2402-1229</w:t>
            </w:r>
          </w:p>
          <w:p w:rsidR="00BA7E7E" w:rsidRPr="00016595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 Departamento de</w:t>
            </w: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Ana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Av. Fray Felipe de Jesùs Moraga Nte. Entre calle Libertad Pte.y 4ª calle Pte. No. 6. Tel</w:t>
            </w:r>
            <w:r>
              <w:rPr>
                <w:rFonts w:ascii="Arial" w:hAnsi="Arial" w:cs="Arial"/>
                <w:sz w:val="20"/>
                <w:szCs w:val="20"/>
              </w:rPr>
              <w:t>éfono</w:t>
            </w:r>
            <w:r w:rsidRPr="000E3DC1">
              <w:rPr>
                <w:rFonts w:ascii="Arial" w:hAnsi="Arial" w:cs="Arial"/>
                <w:sz w:val="20"/>
                <w:szCs w:val="20"/>
              </w:rPr>
              <w:t>. 2441-3971</w:t>
            </w:r>
          </w:p>
          <w:p w:rsidR="00BA7E7E" w:rsidRPr="00016595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 Departamento de</w:t>
            </w: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Sonsonate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4ª  calle oriente, casa 21-22, colonia San Francisco, Sonzacate. Telf. 2450-2935</w:t>
            </w:r>
          </w:p>
          <w:p w:rsidR="00BA7E7E" w:rsidRPr="00016595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 Departamento de </w:t>
            </w: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 Libertad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</w:t>
            </w:r>
            <w:r>
              <w:rPr>
                <w:rFonts w:ascii="Arial" w:hAnsi="Arial" w:cs="Arial"/>
                <w:sz w:val="20"/>
                <w:szCs w:val="20"/>
              </w:rPr>
              <w:t xml:space="preserve">n: </w:t>
            </w:r>
            <w:r w:rsidRPr="009F4AE1">
              <w:rPr>
                <w:rFonts w:ascii="Arial" w:hAnsi="Arial" w:cs="Arial"/>
                <w:sz w:val="20"/>
                <w:szCs w:val="20"/>
                <w:lang w:val="es-ES"/>
              </w:rPr>
              <w:t>6ª. Calle Oriente y Avenida “Jose ZablahTouche” Colonia Utila; Santa Tecla.</w:t>
            </w:r>
            <w:r w:rsidRPr="000E3DC1">
              <w:rPr>
                <w:rFonts w:ascii="Arial" w:hAnsi="Arial" w:cs="Arial"/>
                <w:sz w:val="20"/>
                <w:szCs w:val="20"/>
              </w:rPr>
              <w:t>Teléf</w:t>
            </w:r>
            <w:r>
              <w:rPr>
                <w:rFonts w:ascii="Arial" w:hAnsi="Arial" w:cs="Arial"/>
                <w:sz w:val="20"/>
                <w:szCs w:val="20"/>
              </w:rPr>
              <w:t>ono</w:t>
            </w:r>
            <w:r w:rsidRPr="000E3DC1">
              <w:rPr>
                <w:rFonts w:ascii="Arial" w:hAnsi="Arial" w:cs="Arial"/>
                <w:sz w:val="20"/>
                <w:szCs w:val="20"/>
              </w:rPr>
              <w:t>. 2288-3963</w:t>
            </w:r>
          </w:p>
          <w:p w:rsidR="00BA7E7E" w:rsidRPr="00016595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 Departamento de</w:t>
            </w: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Chalatenango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5ª calle Ote. Pje. Sta. Cecilia, Bo. El Calvario. Telf. 2301-0910</w:t>
            </w:r>
          </w:p>
          <w:p w:rsidR="00BA7E7E" w:rsidRPr="00016595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 Municipio de</w:t>
            </w:r>
            <w:r w:rsidRPr="00016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Apopa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Km. 13 ½ carretera a Quezaltepeque, 1, No. 9. Telf. 2216-3122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>l Departamento de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San Salvador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13 Av. Sur y 9ª Calle Pte., Centro de Gobierno; Torre PGR. Telf. 2231-9385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>l Municipio de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Soyapango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Av. Las Palmeras, Pje. Morazán No. 3, Bo. El Progreso. Telf. 2227-2776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 xml:space="preserve">l Departamento de </w:t>
            </w:r>
            <w:r w:rsidRPr="000E3DC1">
              <w:rPr>
                <w:rFonts w:ascii="Arial" w:hAnsi="Arial" w:cs="Arial"/>
                <w:sz w:val="20"/>
                <w:szCs w:val="20"/>
              </w:rPr>
              <w:t>Cuscatlán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  <w:r w:rsidRPr="000E3DC1">
              <w:rPr>
                <w:rFonts w:ascii="Arial" w:hAnsi="Arial" w:cs="Arial"/>
                <w:sz w:val="20"/>
                <w:szCs w:val="20"/>
              </w:rPr>
              <w:t>Barrio</w:t>
            </w:r>
            <w:r w:rsidRPr="001B3A20">
              <w:rPr>
                <w:rFonts w:ascii="Arial" w:hAnsi="Arial" w:cs="Arial"/>
                <w:sz w:val="20"/>
                <w:szCs w:val="20"/>
              </w:rPr>
              <w:t xml:space="preserve"> San Juan, Calle a la Estación N° 15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Telf. 2372-6003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>l Departamento de Cabañas</w:t>
            </w:r>
          </w:p>
          <w:p w:rsidR="00BA7E7E" w:rsidRPr="000E3DC1" w:rsidRDefault="00BA7E7E" w:rsidP="00B076D5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calle Dr. Jesùs Velasco No. 27, Bo. El Calvario. Telf. 2382-1808</w:t>
            </w:r>
            <w:r>
              <w:rPr>
                <w:rFonts w:ascii="Arial" w:hAnsi="Arial" w:cs="Arial"/>
                <w:sz w:val="20"/>
                <w:szCs w:val="20"/>
              </w:rPr>
              <w:t>; Sensuntepeque</w:t>
            </w:r>
          </w:p>
        </w:tc>
      </w:tr>
      <w:tr w:rsidR="00BA7E7E" w:rsidRPr="000E3DC1" w:rsidTr="0085430D">
        <w:trPr>
          <w:trHeight w:hRule="exact" w:val="4921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30" w:space="0" w:color="A6A6A6"/>
              <w:right w:val="single" w:sz="8" w:space="0" w:color="000000"/>
            </w:tcBorders>
          </w:tcPr>
          <w:p w:rsidR="00BA7E7E" w:rsidRPr="000E3DC1" w:rsidRDefault="00BA7E7E" w:rsidP="00B076D5">
            <w:pPr>
              <w:widowControl w:val="0"/>
              <w:spacing w:before="162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30" w:space="0" w:color="A6A6A6"/>
              <w:right w:val="single" w:sz="6" w:space="0" w:color="000000"/>
            </w:tcBorders>
          </w:tcPr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>l Departamento de La Paz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calle Dr. Miguel Tomas Molina, 2ª C. Pte</w:t>
            </w:r>
            <w:r>
              <w:rPr>
                <w:rFonts w:ascii="Arial" w:hAnsi="Arial" w:cs="Arial"/>
                <w:sz w:val="20"/>
                <w:szCs w:val="20"/>
              </w:rPr>
              <w:t xml:space="preserve">. No. 28 bis, Barrio Candelaria; Zacatecoluca. </w:t>
            </w:r>
            <w:r w:rsidRPr="000E3DC1">
              <w:rPr>
                <w:rFonts w:ascii="Arial" w:hAnsi="Arial" w:cs="Arial"/>
                <w:sz w:val="20"/>
                <w:szCs w:val="20"/>
              </w:rPr>
              <w:t>Teléfono. 2334-2075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>l Departamento de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San Vicente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Av. José María Cornejo No. 12, Barrio El Calvario. Telf. 2393-2329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>l Departamento de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Usulután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7</w:t>
            </w:r>
            <w:r w:rsidRPr="001B3A20">
              <w:rPr>
                <w:rFonts w:ascii="Arial" w:hAnsi="Arial" w:cs="Arial"/>
                <w:sz w:val="20"/>
                <w:szCs w:val="20"/>
              </w:rPr>
              <w:t>º avenida norte y 4° calle</w:t>
            </w:r>
            <w:r>
              <w:rPr>
                <w:rFonts w:ascii="Arial" w:hAnsi="Arial" w:cs="Arial"/>
                <w:sz w:val="20"/>
                <w:szCs w:val="20"/>
              </w:rPr>
              <w:t xml:space="preserve"> poniente #15, Barrio La Merced.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Telf. 2662-4059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 xml:space="preserve">l Departamento de </w:t>
            </w:r>
            <w:r w:rsidRPr="000E3DC1">
              <w:rPr>
                <w:rFonts w:ascii="Arial" w:hAnsi="Arial" w:cs="Arial"/>
                <w:sz w:val="20"/>
                <w:szCs w:val="20"/>
              </w:rPr>
              <w:t>Morazán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centro de gobierno, 2do. Nivel. 2ª calle poniente y 3ª av. Sur; Bo. El Centro.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Teléf. 2454-0170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>l Departamento de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San Miguel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3ª avenida sur No. 606, Bo. San Nicolás, 1 cuadra del mercado San Nicolás.</w:t>
            </w:r>
          </w:p>
          <w:p w:rsidR="00BA7E7E" w:rsidRPr="000E3DC1" w:rsidRDefault="00BA7E7E" w:rsidP="000E3DC1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Teléf. 2660-2495</w:t>
            </w:r>
          </w:p>
          <w:p w:rsidR="00BA7E7E" w:rsidRPr="000E3DC1" w:rsidRDefault="00BA7E7E" w:rsidP="00ED3961">
            <w:pPr>
              <w:widowControl w:val="0"/>
              <w:numPr>
                <w:ilvl w:val="0"/>
                <w:numId w:val="4"/>
              </w:numPr>
              <w:spacing w:before="5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Procuraduría Auxiliar de</w:t>
            </w:r>
            <w:r>
              <w:rPr>
                <w:rFonts w:ascii="Arial" w:hAnsi="Arial" w:cs="Arial"/>
                <w:sz w:val="20"/>
                <w:szCs w:val="20"/>
              </w:rPr>
              <w:t>l Departamento de</w:t>
            </w:r>
            <w:r w:rsidRPr="000E3DC1">
              <w:rPr>
                <w:rFonts w:ascii="Arial" w:hAnsi="Arial" w:cs="Arial"/>
                <w:sz w:val="20"/>
                <w:szCs w:val="20"/>
              </w:rPr>
              <w:t xml:space="preserve"> La Unión</w:t>
            </w:r>
          </w:p>
          <w:p w:rsidR="00BA7E7E" w:rsidRPr="00B076D5" w:rsidRDefault="00BA7E7E" w:rsidP="00B076D5">
            <w:pPr>
              <w:widowControl w:val="0"/>
              <w:spacing w:before="50"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>Dirección: centro de gobierno, 5ª calle poniente, Bo. El Cen</w:t>
            </w:r>
            <w:bookmarkStart w:id="0" w:name="_GoBack"/>
            <w:bookmarkEnd w:id="0"/>
            <w:r w:rsidRPr="000E3DC1">
              <w:rPr>
                <w:rFonts w:ascii="Arial" w:hAnsi="Arial" w:cs="Arial"/>
                <w:sz w:val="20"/>
                <w:szCs w:val="20"/>
              </w:rPr>
              <w:t>tro. Telf. 2604-2831</w:t>
            </w:r>
          </w:p>
        </w:tc>
      </w:tr>
      <w:tr w:rsidR="00BA7E7E" w:rsidRPr="000E3DC1" w:rsidTr="0085430D">
        <w:trPr>
          <w:trHeight w:hRule="exact" w:val="1203"/>
        </w:trPr>
        <w:tc>
          <w:tcPr>
            <w:tcW w:w="2881" w:type="dxa"/>
            <w:tcBorders>
              <w:top w:val="single" w:sz="30" w:space="0" w:color="A6A6A6"/>
              <w:left w:val="single" w:sz="30" w:space="0" w:color="A6A6A6"/>
              <w:bottom w:val="single" w:sz="32" w:space="0" w:color="A6A6A6"/>
              <w:right w:val="single" w:sz="24" w:space="0" w:color="A6A6A6"/>
            </w:tcBorders>
            <w:shd w:val="clear" w:color="auto" w:fill="A6A6A6"/>
          </w:tcPr>
          <w:p w:rsidR="00BA7E7E" w:rsidRPr="000E3DC1" w:rsidRDefault="00BA7E7E" w:rsidP="000E3DC1">
            <w:pPr>
              <w:widowControl w:val="0"/>
              <w:spacing w:after="0" w:line="236" w:lineRule="exact"/>
              <w:ind w:left="27"/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</w:pP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3.</w:t>
            </w:r>
          </w:p>
          <w:p w:rsidR="00BA7E7E" w:rsidRPr="000E3DC1" w:rsidRDefault="00BA7E7E" w:rsidP="00B076D5">
            <w:pPr>
              <w:widowControl w:val="0"/>
              <w:spacing w:after="0" w:line="236" w:lineRule="exact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8470" w:type="dxa"/>
            <w:tcBorders>
              <w:top w:val="single" w:sz="30" w:space="0" w:color="A6A6A6"/>
              <w:left w:val="single" w:sz="24" w:space="0" w:color="A6A6A6"/>
              <w:bottom w:val="single" w:sz="32" w:space="0" w:color="A6A6A6"/>
              <w:right w:val="single" w:sz="30" w:space="0" w:color="A6A6A6"/>
            </w:tcBorders>
            <w:shd w:val="clear" w:color="auto" w:fill="A6A6A6"/>
          </w:tcPr>
          <w:p w:rsidR="00BA7E7E" w:rsidRPr="000E3DC1" w:rsidRDefault="00BA7E7E" w:rsidP="006F00D7">
            <w:pPr>
              <w:widowControl w:val="0"/>
              <w:spacing w:after="0" w:line="236" w:lineRule="exact"/>
              <w:ind w:right="3015"/>
              <w:jc w:val="center"/>
              <w:rPr>
                <w:rFonts w:ascii="Trebuchet MS" w:hAnsi="Trebuchet MS" w:cs="Trebuchet MS"/>
                <w:sz w:val="21"/>
                <w:szCs w:val="21"/>
              </w:rPr>
            </w:pPr>
            <w:r w:rsidRPr="000E3DC1"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AREA</w:t>
            </w:r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 xml:space="preserve"> </w:t>
            </w:r>
            <w:r w:rsidRPr="000E3DC1"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DE</w:t>
            </w:r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 xml:space="preserve"> </w:t>
            </w:r>
            <w:r w:rsidRPr="000E3DC1">
              <w:rPr>
                <w:rFonts w:ascii="Trebuchet MS" w:hAnsi="Trebuchet MS" w:cs="Trebuchet MS"/>
                <w:b/>
                <w:bCs/>
                <w:spacing w:val="-1"/>
                <w:sz w:val="21"/>
                <w:szCs w:val="21"/>
              </w:rPr>
              <w:t>DESCRIPCIÓN</w:t>
            </w:r>
          </w:p>
        </w:tc>
      </w:tr>
      <w:tr w:rsidR="00BA7E7E" w:rsidRPr="000E3DC1" w:rsidTr="0085430D">
        <w:trPr>
          <w:trHeight w:hRule="exact" w:val="7378"/>
        </w:trPr>
        <w:tc>
          <w:tcPr>
            <w:tcW w:w="2881" w:type="dxa"/>
            <w:tcBorders>
              <w:top w:val="single" w:sz="32" w:space="0" w:color="A6A6A6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widowControl w:val="0"/>
              <w:spacing w:before="7" w:after="0" w:line="13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A7E7E" w:rsidRPr="000E3DC1" w:rsidRDefault="00BA7E7E" w:rsidP="000E3DC1">
            <w:pPr>
              <w:widowControl w:val="0"/>
              <w:spacing w:after="0" w:line="20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7E7E" w:rsidRDefault="00BA7E7E" w:rsidP="000E3DC1">
            <w:pPr>
              <w:widowControl w:val="0"/>
              <w:spacing w:after="0" w:line="244" w:lineRule="auto"/>
              <w:ind w:left="56" w:right="9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3.1.Historia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Institución</w:t>
            </w:r>
          </w:p>
          <w:p w:rsidR="00BA7E7E" w:rsidRDefault="00BA7E7E" w:rsidP="00104DC6">
            <w:pPr>
              <w:widowControl w:val="0"/>
              <w:spacing w:after="0" w:line="244" w:lineRule="auto"/>
              <w:ind w:left="56" w:right="9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ustodia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los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ondos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  <w:p w:rsidR="00BA7E7E" w:rsidRPr="000E3DC1" w:rsidRDefault="00BA7E7E" w:rsidP="00104DC6">
            <w:pPr>
              <w:widowControl w:val="0"/>
              <w:spacing w:after="0" w:line="244" w:lineRule="auto"/>
              <w:ind w:left="56" w:right="99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Archivos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0" w:type="dxa"/>
            <w:tcBorders>
              <w:top w:val="single" w:sz="32" w:space="0" w:color="A6A6A6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294A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DC1">
              <w:rPr>
                <w:rFonts w:ascii="Arial" w:hAnsi="Arial" w:cs="Arial"/>
              </w:rPr>
              <w:t>BREVE INTRODUCCION A LA HISTORIA DE LA PGR</w:t>
            </w:r>
          </w:p>
          <w:p w:rsidR="00BA7E7E" w:rsidRPr="000E3DC1" w:rsidRDefault="00BA7E7E" w:rsidP="000E3DC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A7E7E" w:rsidRDefault="00BA7E7E" w:rsidP="002A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2A7">
              <w:rPr>
                <w:rFonts w:ascii="Arial" w:hAnsi="Arial" w:cs="Arial"/>
                <w:sz w:val="20"/>
                <w:szCs w:val="20"/>
              </w:rPr>
              <w:t>La historia de la Procuraduría General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República se puede seguir desde</w:t>
            </w:r>
            <w:r w:rsidRPr="008342A7">
              <w:rPr>
                <w:rFonts w:ascii="Arial" w:hAnsi="Arial" w:cs="Arial"/>
                <w:sz w:val="20"/>
                <w:szCs w:val="20"/>
              </w:rPr>
              <w:t xml:space="preserve"> tres períodos cro</w:t>
            </w:r>
            <w:r>
              <w:rPr>
                <w:rFonts w:ascii="Arial" w:hAnsi="Arial" w:cs="Arial"/>
                <w:sz w:val="20"/>
                <w:szCs w:val="20"/>
              </w:rPr>
              <w:t>nológicos que evidencian los</w:t>
            </w:r>
            <w:r w:rsidRPr="008342A7">
              <w:rPr>
                <w:rFonts w:ascii="Arial" w:hAnsi="Arial" w:cs="Arial"/>
                <w:sz w:val="20"/>
                <w:szCs w:val="20"/>
              </w:rPr>
              <w:t xml:space="preserve"> cambios estructurales contenidos en tres Constituciones de la República</w:t>
            </w:r>
            <w:r>
              <w:rPr>
                <w:rFonts w:ascii="Arial" w:hAnsi="Arial" w:cs="Arial"/>
                <w:sz w:val="20"/>
                <w:szCs w:val="20"/>
              </w:rPr>
              <w:t>, que han definido el desarrollo</w:t>
            </w:r>
            <w:r w:rsidRPr="008342A7">
              <w:rPr>
                <w:rFonts w:ascii="Arial" w:hAnsi="Arial" w:cs="Arial"/>
                <w:sz w:val="20"/>
                <w:szCs w:val="20"/>
              </w:rPr>
              <w:t xml:space="preserve"> de esta institución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7E7E" w:rsidRPr="008342A7" w:rsidRDefault="00BA7E7E" w:rsidP="002A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2A7">
              <w:rPr>
                <w:rFonts w:ascii="Arial" w:hAnsi="Arial" w:cs="Arial"/>
                <w:sz w:val="20"/>
                <w:szCs w:val="20"/>
              </w:rPr>
              <w:t>El primer período (1939-1950), marca la época de fundación como Ministerio Público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2A7">
              <w:rPr>
                <w:rFonts w:ascii="Arial" w:hAnsi="Arial" w:cs="Arial"/>
                <w:sz w:val="20"/>
                <w:szCs w:val="20"/>
              </w:rPr>
              <w:t>Fiscal, el cual 11 años después cambia su nomenclatura para convertirse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2A7">
              <w:rPr>
                <w:rFonts w:ascii="Arial" w:hAnsi="Arial" w:cs="Arial"/>
                <w:sz w:val="20"/>
                <w:szCs w:val="20"/>
              </w:rPr>
              <w:t>Procuraduría General de Pobres.</w:t>
            </w:r>
          </w:p>
          <w:p w:rsidR="00BA7E7E" w:rsidRPr="008342A7" w:rsidRDefault="00BA7E7E" w:rsidP="002A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2A7">
              <w:rPr>
                <w:rFonts w:ascii="Arial" w:hAnsi="Arial" w:cs="Arial"/>
                <w:sz w:val="20"/>
                <w:szCs w:val="20"/>
              </w:rPr>
              <w:t>El segundo período (1950-1983), representa la época de desarrollo y consolidación en el marco de la nueva Constitución de 1950, en</w:t>
            </w:r>
            <w:r>
              <w:rPr>
                <w:rFonts w:ascii="Arial" w:hAnsi="Arial" w:cs="Arial"/>
                <w:sz w:val="20"/>
                <w:szCs w:val="20"/>
              </w:rPr>
              <w:t xml:space="preserve"> la cual el constituyente separa</w:t>
            </w:r>
            <w:r w:rsidRPr="008342A7">
              <w:rPr>
                <w:rFonts w:ascii="Arial" w:hAnsi="Arial" w:cs="Arial"/>
                <w:sz w:val="20"/>
                <w:szCs w:val="20"/>
              </w:rPr>
              <w:t xml:space="preserve"> las funciones del Fiscal General y del Procurador General, </w:t>
            </w:r>
            <w:r>
              <w:rPr>
                <w:rFonts w:ascii="Arial" w:hAnsi="Arial" w:cs="Arial"/>
                <w:sz w:val="20"/>
                <w:szCs w:val="20"/>
              </w:rPr>
              <w:t>para superar</w:t>
            </w:r>
            <w:r w:rsidRPr="008342A7">
              <w:rPr>
                <w:rFonts w:ascii="Arial" w:hAnsi="Arial" w:cs="Arial"/>
                <w:sz w:val="20"/>
                <w:szCs w:val="20"/>
              </w:rPr>
              <w:t xml:space="preserve"> las contradicciones propias de acusar y defender al mismo tiempo.</w:t>
            </w:r>
          </w:p>
          <w:p w:rsidR="00BA7E7E" w:rsidRPr="008342A7" w:rsidRDefault="00BA7E7E" w:rsidP="002A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tercer período (1983-2000</w:t>
            </w:r>
            <w:r w:rsidRPr="008342A7">
              <w:rPr>
                <w:rFonts w:ascii="Arial" w:hAnsi="Arial" w:cs="Arial"/>
                <w:sz w:val="20"/>
                <w:szCs w:val="20"/>
              </w:rPr>
              <w:t>), está signado por la nueva Constitución de 1983 y otro cambio de nomenclatura, no obstante que la institución sigue funcionando estructuralmente con la antigua</w:t>
            </w:r>
            <w:r>
              <w:rPr>
                <w:rFonts w:ascii="Arial" w:hAnsi="Arial" w:cs="Arial"/>
                <w:sz w:val="20"/>
                <w:szCs w:val="20"/>
              </w:rPr>
              <w:t xml:space="preserve"> Ley Orgánica de 1952. Se aprueba</w:t>
            </w:r>
            <w:r w:rsidRPr="008342A7">
              <w:rPr>
                <w:rFonts w:ascii="Arial" w:hAnsi="Arial" w:cs="Arial"/>
                <w:sz w:val="20"/>
                <w:szCs w:val="20"/>
              </w:rPr>
              <w:t xml:space="preserve"> una nueva Ley Orgánica solo 13 años después de haber sido rebautizada como Procuraduría General de la República.</w:t>
            </w:r>
          </w:p>
          <w:p w:rsidR="00BA7E7E" w:rsidRPr="008342A7" w:rsidRDefault="00BA7E7E" w:rsidP="002A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2A7">
              <w:rPr>
                <w:rFonts w:ascii="Arial" w:hAnsi="Arial" w:cs="Arial"/>
                <w:sz w:val="20"/>
                <w:szCs w:val="20"/>
              </w:rPr>
              <w:t>En la actualidad la Procuraduría General está conformada por 17 Procuradurías Auxiliares que funci</w:t>
            </w:r>
            <w:r>
              <w:rPr>
                <w:rFonts w:ascii="Arial" w:hAnsi="Arial" w:cs="Arial"/>
                <w:sz w:val="20"/>
                <w:szCs w:val="20"/>
              </w:rPr>
              <w:t>onan a nivel nacional.</w:t>
            </w:r>
            <w:r w:rsidRPr="0083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E7E" w:rsidRPr="008342A7" w:rsidRDefault="00BA7E7E" w:rsidP="002A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E7E" w:rsidRPr="008342A7" w:rsidRDefault="00BA7E7E" w:rsidP="002A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2A7">
              <w:rPr>
                <w:rFonts w:ascii="Arial" w:hAnsi="Arial" w:cs="Arial"/>
                <w:sz w:val="20"/>
                <w:szCs w:val="20"/>
              </w:rPr>
              <w:t>(</w:t>
            </w:r>
            <w:r w:rsidRPr="002A04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Lea la Historia completa de la PGR en www.pgr.gob.sv</w:t>
            </w:r>
            <w:r w:rsidRPr="008342A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BA7E7E" w:rsidRDefault="00BA7E7E" w:rsidP="002A0408">
            <w:pPr>
              <w:jc w:val="both"/>
              <w:rPr>
                <w:sz w:val="28"/>
                <w:szCs w:val="28"/>
              </w:rPr>
            </w:pPr>
          </w:p>
          <w:p w:rsidR="00BA7E7E" w:rsidRPr="00B076D5" w:rsidRDefault="00BA7E7E" w:rsidP="001F10F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E7E" w:rsidRPr="000E3DC1" w:rsidTr="0085430D">
        <w:trPr>
          <w:trHeight w:hRule="exact" w:val="5669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Default="00BA7E7E" w:rsidP="00F337CE">
            <w:pPr>
              <w:pStyle w:val="TableParagraph"/>
              <w:spacing w:before="51" w:line="244" w:lineRule="auto"/>
              <w:ind w:left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3.2. Contexto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ultural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BA7E7E" w:rsidRPr="000E3DC1" w:rsidRDefault="00BA7E7E" w:rsidP="00F337CE">
            <w:pPr>
              <w:pStyle w:val="TableParagraph"/>
              <w:spacing w:before="51" w:line="244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Geográfico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Default="00BA7E7E" w:rsidP="001F10F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Hay registro de expedientes en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</w:rPr>
              <w:t xml:space="preserve"> la institución 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sde 1939 hasta el presente año. </w:t>
            </w:r>
          </w:p>
          <w:p w:rsidR="00BA7E7E" w:rsidRPr="00064C3E" w:rsidRDefault="00BA7E7E" w:rsidP="001F10F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E">
              <w:rPr>
                <w:rFonts w:ascii="Arial" w:hAnsi="Arial" w:cs="Arial"/>
                <w:sz w:val="20"/>
                <w:szCs w:val="20"/>
              </w:rPr>
              <w:t>En 1983 el archivo central dependía de la Secretaria General, e informó que movilizó 4953 expedientes entre mayo del 83 y junio del 84; correspondiendo 3326 a la oficina central y 1627 a las 12 Agencias Auxiliares Departamentales.</w:t>
            </w:r>
          </w:p>
          <w:p w:rsidR="00BA7E7E" w:rsidRPr="00064C3E" w:rsidRDefault="00BA7E7E" w:rsidP="001F10F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Las procuradurías auxiliares organizaban sus archivos y enviaban expedientes para tramites en oficina central; la documentación se manejaba localmente en las agencias auxiliares.</w:t>
            </w:r>
          </w:p>
          <w:p w:rsidR="00BA7E7E" w:rsidRDefault="00BA7E7E" w:rsidP="001F10F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E">
              <w:rPr>
                <w:rFonts w:ascii="Arial" w:hAnsi="Arial" w:cs="Arial"/>
                <w:sz w:val="20"/>
                <w:szCs w:val="20"/>
              </w:rPr>
              <w:t>No hay registros escritos de la forma de funcionamiento e inventarios de expedientes acumulados</w:t>
            </w:r>
            <w:r>
              <w:rPr>
                <w:rFonts w:ascii="Arial" w:hAnsi="Arial" w:cs="Arial"/>
                <w:sz w:val="20"/>
                <w:szCs w:val="20"/>
              </w:rPr>
              <w:t xml:space="preserve"> desde la fecha de creación en</w:t>
            </w:r>
            <w:r w:rsidRPr="00064C3E">
              <w:rPr>
                <w:rFonts w:ascii="Arial" w:hAnsi="Arial" w:cs="Arial"/>
                <w:sz w:val="20"/>
                <w:szCs w:val="20"/>
              </w:rPr>
              <w:t xml:space="preserve"> las agencias.</w:t>
            </w:r>
          </w:p>
          <w:p w:rsidR="00BA7E7E" w:rsidRPr="003072D9" w:rsidRDefault="00BA7E7E" w:rsidP="001F10F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En 1986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</w:rPr>
              <w:t xml:space="preserve"> un terremoto destruyó el edificio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central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</w:rPr>
              <w:t xml:space="preserve"> y disperso el archivo central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de San Salvador.</w:t>
            </w:r>
          </w:p>
          <w:p w:rsidR="00BA7E7E" w:rsidRPr="00064C3E" w:rsidRDefault="00BA7E7E" w:rsidP="001F10F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Actualmente s</w:t>
            </w:r>
            <w:r w:rsidRPr="00064C3E">
              <w:rPr>
                <w:rFonts w:ascii="Arial" w:hAnsi="Arial" w:cs="Arial"/>
                <w:sz w:val="20"/>
                <w:szCs w:val="20"/>
              </w:rPr>
              <w:t>e tiene información documental desde 1950 a la fecha en el archivo de familia de san salvador</w:t>
            </w:r>
            <w:r>
              <w:rPr>
                <w:rFonts w:ascii="Arial" w:hAnsi="Arial" w:cs="Arial"/>
                <w:sz w:val="20"/>
                <w:szCs w:val="20"/>
              </w:rPr>
              <w:t>, el cual depende de la coordinación de logística, establecido en la Ley Orgánica de la PGR.(2008).</w:t>
            </w:r>
          </w:p>
          <w:p w:rsidR="00BA7E7E" w:rsidRDefault="00BA7E7E" w:rsidP="00AD09FB">
            <w:pPr>
              <w:pStyle w:val="TableParagraph"/>
              <w:spacing w:before="51" w:line="244" w:lineRule="auto"/>
              <w:ind w:left="56"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27"/>
                <w:sz w:val="20"/>
                <w:szCs w:val="20"/>
                <w:lang w:val="es-SV"/>
              </w:rPr>
              <w:t xml:space="preserve">Actualmente el </w:t>
            </w:r>
            <w:r w:rsidRPr="000E3DC1">
              <w:rPr>
                <w:rFonts w:ascii="Arial" w:hAnsi="Arial" w:cs="Arial"/>
                <w:spacing w:val="27"/>
                <w:sz w:val="20"/>
                <w:szCs w:val="20"/>
                <w:lang w:val="es-SV"/>
              </w:rPr>
              <w:t xml:space="preserve">Sistema de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Archivos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4E02BC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PGR,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e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stá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integrado por 17 archivos especializados ubicados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en las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14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cabeceras departam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entales del país y en los municipios de Soyapango, Apopa y Metapán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y 1 archivo central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; Las oficinas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 xml:space="preserve"> administrativa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s ubicadas en San Salvador tienen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34 archivos de oficina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.</w:t>
            </w:r>
          </w:p>
          <w:p w:rsidR="00BA7E7E" w:rsidRDefault="00BA7E7E" w:rsidP="00AD09FB">
            <w:pPr>
              <w:pStyle w:val="TableParagraph"/>
              <w:spacing w:before="51" w:line="244" w:lineRule="auto"/>
              <w:ind w:left="56"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La institución brinda servicios de asistencia legal a la población con atencion a la de más escasos recursos económicos; Todos los servicios institucionales son gratuitos y en el área penal, todos los días del año.</w:t>
            </w:r>
          </w:p>
          <w:p w:rsidR="00BA7E7E" w:rsidRPr="000E3DC1" w:rsidRDefault="00BA7E7E" w:rsidP="00AD09FB">
            <w:pPr>
              <w:pStyle w:val="TableParagraph"/>
              <w:spacing w:before="51" w:line="244" w:lineRule="auto"/>
              <w:ind w:left="56"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Las oficinas son accesibles por encontrarse en el área urbana de las ciudades, cuentan con servicios de telefonía, correo electrónico y oficina de atención a usuarios.</w:t>
            </w:r>
          </w:p>
        </w:tc>
      </w:tr>
      <w:tr w:rsidR="00BA7E7E" w:rsidRPr="000E3DC1" w:rsidTr="0085430D">
        <w:trPr>
          <w:trHeight w:hRule="exact" w:val="4971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C61E58">
            <w:pPr>
              <w:pStyle w:val="TableParagraph"/>
              <w:spacing w:before="50" w:line="244" w:lineRule="auto"/>
              <w:ind w:left="56" w:right="99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3.3.Atribuciones,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fuentes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legales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Default="00BA7E7E" w:rsidP="000E3DC1">
            <w:pPr>
              <w:pStyle w:val="TableParagraph"/>
              <w:spacing w:before="50" w:line="244" w:lineRule="auto"/>
              <w:ind w:left="56" w:right="58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En la  memoria de labores del año 1975, la sección de archivo general dependía  de la secretaria general, junto a las demás secciones administrativas y legales de la institución.</w:t>
            </w:r>
          </w:p>
          <w:p w:rsidR="00BA7E7E" w:rsidRPr="00B255B0" w:rsidRDefault="00BA7E7E" w:rsidP="000E3DC1">
            <w:pPr>
              <w:pStyle w:val="TableParagraph"/>
              <w:spacing w:before="50" w:line="244" w:lineRule="auto"/>
              <w:ind w:left="56" w:right="58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 ley orgánica de la PGR (2008) mantiene las funciones del archivo general asignadas a la unidad de logística.</w:t>
            </w:r>
          </w:p>
          <w:p w:rsidR="00BA7E7E" w:rsidRDefault="00BA7E7E" w:rsidP="000E3DC1">
            <w:pPr>
              <w:pStyle w:val="TableParagraph"/>
              <w:spacing w:before="50" w:line="244" w:lineRule="auto"/>
              <w:ind w:left="56" w:right="58"/>
              <w:jc w:val="both"/>
              <w:rPr>
                <w:rFonts w:ascii="Arial" w:hAnsi="Arial" w:cs="Arial"/>
                <w:spacing w:val="31"/>
                <w:sz w:val="20"/>
                <w:szCs w:val="20"/>
                <w:lang w:val="es-SV"/>
              </w:rPr>
            </w:pPr>
            <w:r w:rsidRPr="00FF2E2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Con la vigencia de la Ley de Acceso a la Información Pública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(2011) </w:t>
            </w:r>
            <w:r w:rsidRPr="00FF2E20">
              <w:rPr>
                <w:rFonts w:ascii="Arial" w:hAnsi="Arial" w:cs="Arial"/>
                <w:spacing w:val="31"/>
                <w:sz w:val="20"/>
                <w:szCs w:val="20"/>
                <w:lang w:val="es-SV"/>
              </w:rPr>
              <w:t xml:space="preserve">se emitió el Acuerdo No. 184 de fecha </w:t>
            </w:r>
            <w:r>
              <w:rPr>
                <w:rFonts w:ascii="Arial" w:hAnsi="Arial" w:cs="Arial"/>
                <w:spacing w:val="31"/>
                <w:sz w:val="20"/>
                <w:szCs w:val="20"/>
                <w:lang w:val="es-SV"/>
              </w:rPr>
              <w:t xml:space="preserve">16 de septiembre 2013, nombrando </w:t>
            </w:r>
            <w:r w:rsidRPr="00FF2E20">
              <w:rPr>
                <w:rFonts w:ascii="Arial" w:hAnsi="Arial" w:cs="Arial"/>
                <w:spacing w:val="31"/>
                <w:sz w:val="20"/>
                <w:szCs w:val="20"/>
                <w:lang w:val="es-SV"/>
              </w:rPr>
              <w:t>al Encargado del Archivo Institucional a Nivel Nacional, con funciones de organización, catalogación, conservación y administración de los documentos…”, en la Unidad de Logística.</w:t>
            </w:r>
          </w:p>
          <w:p w:rsidR="00BA7E7E" w:rsidRDefault="00BA7E7E" w:rsidP="000E3DC1">
            <w:pPr>
              <w:pStyle w:val="TableParagraph"/>
              <w:spacing w:before="50" w:line="244" w:lineRule="auto"/>
              <w:ind w:left="56" w:right="58"/>
              <w:jc w:val="both"/>
              <w:rPr>
                <w:rFonts w:ascii="Arial" w:hAnsi="Arial" w:cs="Arial"/>
                <w:spacing w:val="31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31"/>
                <w:sz w:val="20"/>
                <w:szCs w:val="20"/>
                <w:lang w:val="es-SV"/>
              </w:rPr>
              <w:t>Se modifica el acuerdo de nombramiento del encargado para que dependa de la coordinación nacional administrativa.</w:t>
            </w:r>
          </w:p>
          <w:p w:rsidR="00BA7E7E" w:rsidRDefault="00BA7E7E" w:rsidP="000E3DC1">
            <w:pPr>
              <w:pStyle w:val="TableParagraph"/>
              <w:spacing w:before="50" w:line="244" w:lineRule="auto"/>
              <w:ind w:left="56" w:right="58"/>
              <w:jc w:val="both"/>
              <w:rPr>
                <w:rFonts w:ascii="Arial" w:hAnsi="Arial" w:cs="Arial"/>
                <w:spacing w:val="31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31"/>
                <w:sz w:val="20"/>
                <w:szCs w:val="20"/>
                <w:lang w:val="es-SV"/>
              </w:rPr>
              <w:t>Leyes y normas vigentes:</w:t>
            </w:r>
          </w:p>
          <w:p w:rsidR="00BA7E7E" w:rsidRDefault="00BA7E7E" w:rsidP="000E3DC1">
            <w:pPr>
              <w:pStyle w:val="TableParagraph"/>
              <w:spacing w:before="50" w:line="244" w:lineRule="auto"/>
              <w:ind w:left="56"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Ley Orgánica de la Procuraduría General de la República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.</w:t>
            </w:r>
          </w:p>
          <w:p w:rsidR="00BA7E7E" w:rsidRPr="00FF2E20" w:rsidRDefault="00BA7E7E" w:rsidP="000E3DC1">
            <w:pPr>
              <w:pStyle w:val="TableParagraph"/>
              <w:spacing w:before="50" w:line="244" w:lineRule="auto"/>
              <w:ind w:left="56"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Normas Técnicas de Control Interno de la Procuraduría General de la República.</w:t>
            </w:r>
          </w:p>
          <w:p w:rsidR="00BA7E7E" w:rsidRPr="00B255B0" w:rsidRDefault="00BA7E7E" w:rsidP="003918FA">
            <w:pPr>
              <w:pStyle w:val="TableParagraph"/>
              <w:spacing w:before="50"/>
              <w:ind w:left="56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Ley de Acceso a la Información Pública.</w:t>
            </w:r>
          </w:p>
          <w:p w:rsidR="00BA7E7E" w:rsidRPr="00B255B0" w:rsidRDefault="00BA7E7E" w:rsidP="003918FA">
            <w:pPr>
              <w:pStyle w:val="TableParagraph"/>
              <w:spacing w:line="244" w:lineRule="auto"/>
              <w:ind w:left="56" w:right="202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Ley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Archivo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General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Nación. Decreto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No.316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del15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enero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de1985.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</w:p>
          <w:p w:rsidR="00BA7E7E" w:rsidRDefault="00BA7E7E" w:rsidP="000E3DC1">
            <w:pPr>
              <w:pStyle w:val="TableParagraph"/>
              <w:spacing w:line="245" w:lineRule="auto"/>
              <w:ind w:left="56" w:right="113"/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</w:pP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Ley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Especial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Protección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al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Patrimonio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Cultural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S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alvador.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Decreto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Legislativo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No.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513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del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abril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>1993.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</w:p>
          <w:p w:rsidR="00BA7E7E" w:rsidRPr="005372F5" w:rsidRDefault="00BA7E7E" w:rsidP="000E3DC1">
            <w:pPr>
              <w:pStyle w:val="TableParagraph"/>
              <w:spacing w:line="245" w:lineRule="auto"/>
              <w:ind w:left="56" w:right="113"/>
              <w:rPr>
                <w:rFonts w:ascii="Trebuchet MS" w:hAnsi="Trebuchet MS" w:cs="Trebuchet MS"/>
                <w:sz w:val="21"/>
                <w:szCs w:val="21"/>
                <w:lang w:val="es-SV"/>
              </w:rPr>
            </w:pPr>
          </w:p>
        </w:tc>
      </w:tr>
      <w:tr w:rsidR="00BA7E7E" w:rsidRPr="000E3DC1" w:rsidTr="0085430D">
        <w:trPr>
          <w:trHeight w:hRule="exact" w:val="5353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17" w:line="280" w:lineRule="atLeast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</w:p>
          <w:p w:rsidR="00BA7E7E" w:rsidRPr="00945267" w:rsidRDefault="00BA7E7E" w:rsidP="000E3DC1">
            <w:pPr>
              <w:pStyle w:val="TableParagraph"/>
              <w:spacing w:line="244" w:lineRule="auto"/>
              <w:ind w:left="56" w:right="99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</w:pPr>
            <w:r w:rsidRPr="0094526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3.4.Estructura</w:t>
            </w:r>
          </w:p>
          <w:p w:rsidR="00BA7E7E" w:rsidRPr="00945267" w:rsidRDefault="00BA7E7E" w:rsidP="00EA45E0">
            <w:pPr>
              <w:pStyle w:val="TableParagraph"/>
              <w:spacing w:line="244" w:lineRule="auto"/>
              <w:ind w:left="56" w:right="99"/>
              <w:rPr>
                <w:rFonts w:ascii="Trebuchet MS" w:hAnsi="Trebuchet MS" w:cs="Trebuchet MS"/>
                <w:sz w:val="21"/>
                <w:szCs w:val="21"/>
                <w:lang w:val="es-SV"/>
              </w:rPr>
            </w:pPr>
            <w:r w:rsidRPr="0094526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     Administrativa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line="220" w:lineRule="atLeast"/>
              <w:rPr>
                <w:rFonts w:ascii="Times New Roman" w:hAnsi="Times New Roman" w:cs="Times New Roman"/>
                <w:sz w:val="19"/>
                <w:szCs w:val="19"/>
                <w:lang w:val="es-SV"/>
              </w:rPr>
            </w:pPr>
          </w:p>
          <w:p w:rsidR="00BA7E7E" w:rsidRPr="003918FA" w:rsidRDefault="00BA7E7E" w:rsidP="004E02BC">
            <w:pPr>
              <w:pStyle w:val="TableParagraph"/>
              <w:ind w:left="1967" w:right="1723"/>
              <w:rPr>
                <w:lang w:val="es-SV"/>
              </w:rPr>
            </w:pPr>
            <w:r>
              <w:rPr>
                <w:noProof/>
                <w:lang w:val="es-ES" w:eastAsia="es-ES"/>
              </w:rPr>
              <w:pict>
                <v:rect id="_x0000_s1026" style="position:absolute;left:0;text-align:left;margin-left:103.85pt;margin-top:2.9pt;width:214.3pt;height:29.65pt;z-index:-251658240"/>
              </w:pict>
            </w:r>
          </w:p>
          <w:p w:rsidR="00BA7E7E" w:rsidRPr="003918FA" w:rsidRDefault="00BA7E7E" w:rsidP="003918FA">
            <w:pPr>
              <w:jc w:val="center"/>
            </w:pPr>
            <w:r w:rsidRPr="003918FA">
              <w:t>Dependencia Organigramatica de la Unidad</w:t>
            </w:r>
          </w:p>
          <w:p w:rsidR="00BA7E7E" w:rsidRPr="003918FA" w:rsidRDefault="00BA7E7E" w:rsidP="00D24555">
            <w:r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88.2pt;margin-top:4.9pt;width:250.5pt;height:179.25pt;z-index:251657216">
                  <v:imagedata r:id="rId9" o:title=""/>
                </v:shape>
              </w:pict>
            </w:r>
          </w:p>
          <w:p w:rsidR="00BA7E7E" w:rsidRPr="003918FA" w:rsidRDefault="00BA7E7E" w:rsidP="00D24555">
            <w:pPr>
              <w:jc w:val="center"/>
            </w:pPr>
          </w:p>
        </w:tc>
      </w:tr>
      <w:tr w:rsidR="00BA7E7E" w:rsidRPr="000E3DC1" w:rsidTr="0085430D">
        <w:trPr>
          <w:trHeight w:hRule="exact" w:val="2468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F605AD" w:rsidRDefault="00BA7E7E" w:rsidP="000E3DC1">
            <w:pPr>
              <w:pStyle w:val="TableParagraph"/>
              <w:spacing w:before="50" w:line="243" w:lineRule="auto"/>
              <w:ind w:left="56" w:right="99"/>
              <w:rPr>
                <w:rFonts w:ascii="Arial" w:hAnsi="Arial" w:cs="Arial"/>
                <w:sz w:val="21"/>
                <w:szCs w:val="21"/>
                <w:lang w:val="es-SV"/>
              </w:rPr>
            </w:pPr>
            <w:r w:rsidRPr="00F605AD"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>3.5.Gestión</w:t>
            </w:r>
            <w:r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 xml:space="preserve"> </w:t>
            </w:r>
            <w:r w:rsidRPr="00F605AD"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 xml:space="preserve"> </w:t>
            </w:r>
            <w:r w:rsidRPr="00F605AD"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>documentos</w:t>
            </w:r>
            <w:r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 xml:space="preserve"> </w:t>
            </w:r>
            <w:r w:rsidRPr="00F605AD">
              <w:rPr>
                <w:rFonts w:ascii="Arial" w:hAnsi="Arial" w:cs="Arial"/>
                <w:sz w:val="21"/>
                <w:szCs w:val="21"/>
                <w:lang w:val="es-SV"/>
              </w:rPr>
              <w:t>y</w:t>
            </w:r>
            <w:r>
              <w:rPr>
                <w:rFonts w:ascii="Arial" w:hAnsi="Arial" w:cs="Arial"/>
                <w:sz w:val="21"/>
                <w:szCs w:val="21"/>
                <w:lang w:val="es-SV"/>
              </w:rPr>
              <w:t xml:space="preserve"> </w:t>
            </w:r>
            <w:r w:rsidRPr="00F605AD"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>política</w:t>
            </w:r>
            <w:r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 xml:space="preserve"> </w:t>
            </w:r>
            <w:r w:rsidRPr="00F605AD"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 xml:space="preserve"> </w:t>
            </w:r>
            <w:r w:rsidRPr="00F605AD"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>ingreso</w:t>
            </w:r>
            <w:r>
              <w:rPr>
                <w:rFonts w:ascii="Arial" w:hAnsi="Arial" w:cs="Arial"/>
                <w:spacing w:val="-1"/>
                <w:sz w:val="21"/>
                <w:szCs w:val="21"/>
                <w:lang w:val="es-SV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56"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Por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 xml:space="preserve">su carácter de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archivos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institucional,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reciben documentos generados en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unidades de servicio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y del exterior en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cumplimiento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sus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funciones legales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y administrativas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para resguardarlos </w:t>
            </w:r>
            <w:r w:rsidRPr="000E3DC1">
              <w:rPr>
                <w:rFonts w:ascii="Arial" w:hAnsi="Arial" w:cs="Arial"/>
                <w:spacing w:val="18"/>
                <w:sz w:val="20"/>
                <w:szCs w:val="20"/>
                <w:lang w:val="es-SV"/>
              </w:rPr>
              <w:t>según el plazo establecido</w:t>
            </w:r>
            <w:r>
              <w:rPr>
                <w:rFonts w:ascii="Arial" w:hAnsi="Arial" w:cs="Arial"/>
                <w:spacing w:val="18"/>
                <w:sz w:val="20"/>
                <w:szCs w:val="20"/>
                <w:lang w:val="es-SV"/>
              </w:rPr>
              <w:t>,</w:t>
            </w:r>
            <w:r w:rsidRPr="000E3DC1">
              <w:rPr>
                <w:rFonts w:ascii="Arial" w:hAnsi="Arial" w:cs="Arial"/>
                <w:spacing w:val="18"/>
                <w:sz w:val="20"/>
                <w:szCs w:val="20"/>
                <w:lang w:val="es-SV"/>
              </w:rPr>
              <w:t xml:space="preserve"> antes de enviarlos al archivo central.</w:t>
            </w:r>
          </w:p>
          <w:p w:rsidR="00BA7E7E" w:rsidRPr="000E3DC1" w:rsidRDefault="00BA7E7E" w:rsidP="000E3DC1">
            <w:pPr>
              <w:pStyle w:val="TableParagraph"/>
              <w:ind w:left="56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ingreso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documentación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realiza por l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as transferencias documentales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establecido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4E02BC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Manual</w:t>
            </w:r>
            <w:r w:rsidRPr="004E02BC">
              <w:rPr>
                <w:rFonts w:ascii="Arial" w:hAnsi="Arial" w:cs="Arial"/>
                <w:spacing w:val="24"/>
                <w:sz w:val="20"/>
                <w:szCs w:val="20"/>
                <w:lang w:val="es-SV"/>
              </w:rPr>
              <w:t xml:space="preserve"> de Procedimientos </w:t>
            </w:r>
            <w:r w:rsidRPr="004E02BC">
              <w:rPr>
                <w:rFonts w:ascii="Arial" w:hAnsi="Arial" w:cs="Arial"/>
                <w:sz w:val="20"/>
                <w:szCs w:val="20"/>
                <w:lang w:val="es-SV"/>
              </w:rPr>
              <w:t>del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4E02BC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Sistema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4E02BC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4E02BC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Archivos Institucional. (ver  3.8 )</w:t>
            </w:r>
          </w:p>
          <w:p w:rsidR="00BA7E7E" w:rsidRPr="000E3DC1" w:rsidRDefault="00BA7E7E" w:rsidP="00206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0E3DC1">
              <w:rPr>
                <w:rFonts w:ascii="Arial" w:hAnsi="Arial" w:cs="Arial"/>
                <w:sz w:val="20"/>
                <w:szCs w:val="20"/>
              </w:rPr>
              <w:t xml:space="preserve">El archivo tiene encomendada las funciones de custodia, organización, descripción, conservación y </w:t>
            </w:r>
            <w:r>
              <w:rPr>
                <w:rFonts w:ascii="Arial" w:hAnsi="Arial" w:cs="Arial"/>
                <w:sz w:val="20"/>
                <w:szCs w:val="20"/>
              </w:rPr>
              <w:t>difusión de los fondos resguarda</w:t>
            </w:r>
            <w:r w:rsidRPr="000E3DC1"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E7E" w:rsidRPr="000E3DC1" w:rsidTr="0085430D">
        <w:trPr>
          <w:trHeight w:hRule="exact" w:val="2372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1" w:line="244" w:lineRule="auto"/>
              <w:ind w:left="56"/>
              <w:rPr>
                <w:rFonts w:ascii="Trebuchet MS" w:hAnsi="Trebuchet MS" w:cs="Trebuchet MS"/>
                <w:sz w:val="21"/>
                <w:szCs w:val="21"/>
                <w:lang w:val="es-SV"/>
              </w:rPr>
            </w:pPr>
            <w:r w:rsidRPr="000E3DC1">
              <w:rPr>
                <w:rFonts w:ascii="Trebuchet MS" w:hAnsi="Trebuchet MS" w:cs="Trebuchet MS"/>
                <w:b/>
                <w:bCs/>
                <w:spacing w:val="-1"/>
                <w:sz w:val="21"/>
                <w:szCs w:val="21"/>
                <w:lang w:val="es-SV"/>
              </w:rPr>
              <w:t>3.6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.Edificio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(ubicación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fí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sica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s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Unidad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es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1" w:line="244" w:lineRule="auto"/>
              <w:ind w:left="56" w:right="58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</w:pPr>
            <w:r w:rsidRPr="004E02BC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En la actualidad el Sistema Institucional de Archivos está ubicado en 18 sedes:</w:t>
            </w:r>
          </w:p>
          <w:p w:rsidR="00BA7E7E" w:rsidRPr="000E3DC1" w:rsidRDefault="00BA7E7E" w:rsidP="000E3DC1">
            <w:pPr>
              <w:pStyle w:val="TableParagraph"/>
              <w:numPr>
                <w:ilvl w:val="0"/>
                <w:numId w:val="1"/>
              </w:numPr>
              <w:spacing w:before="51" w:line="244" w:lineRule="auto"/>
              <w:ind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Edificio Torre PGR, situado en el centro de g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obierno; alberga un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archivo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regional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en el sótano y los archivos de oficina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 las unidades administrativas en los niveles de la torre.</w:t>
            </w:r>
          </w:p>
          <w:p w:rsidR="00BA7E7E" w:rsidRPr="000E3DC1" w:rsidRDefault="00BA7E7E" w:rsidP="000E3DC1">
            <w:pPr>
              <w:pStyle w:val="TableParagraph"/>
              <w:numPr>
                <w:ilvl w:val="0"/>
                <w:numId w:val="1"/>
              </w:numPr>
              <w:spacing w:before="51" w:line="244" w:lineRule="auto"/>
              <w:ind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17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Procuradurías Auxiliares departamentales. Ver croquis del local en archivo anexo. </w:t>
            </w:r>
            <w:r w:rsidRPr="00334B0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(</w:t>
            </w:r>
            <w:r w:rsidRPr="00B4397C">
              <w:rPr>
                <w:rFonts w:ascii="Arial" w:hAnsi="Arial" w:cs="Arial"/>
                <w:b/>
                <w:bCs/>
                <w:color w:val="3366FF"/>
                <w:spacing w:val="-1"/>
                <w:sz w:val="20"/>
                <w:szCs w:val="20"/>
                <w:u w:val="single"/>
                <w:lang w:val="es-SV"/>
              </w:rPr>
              <w:t>ver Croquis de local</w:t>
            </w:r>
            <w:r>
              <w:rPr>
                <w:rFonts w:ascii="Arial" w:hAnsi="Arial" w:cs="Arial"/>
                <w:b/>
                <w:bCs/>
                <w:color w:val="3366FF"/>
                <w:spacing w:val="-1"/>
                <w:sz w:val="20"/>
                <w:szCs w:val="20"/>
                <w:u w:val="single"/>
                <w:lang w:val="es-SV"/>
              </w:rPr>
              <w:t>es</w:t>
            </w:r>
            <w:r w:rsidRPr="00B4397C">
              <w:rPr>
                <w:rFonts w:ascii="Arial" w:hAnsi="Arial" w:cs="Arial"/>
                <w:b/>
                <w:bCs/>
                <w:color w:val="3366FF"/>
                <w:spacing w:val="-1"/>
                <w:sz w:val="20"/>
                <w:szCs w:val="20"/>
                <w:u w:val="single"/>
                <w:lang w:val="es-SV"/>
              </w:rPr>
              <w:t xml:space="preserve"> de archivos</w:t>
            </w:r>
            <w:r>
              <w:rPr>
                <w:rFonts w:ascii="Arial" w:hAnsi="Arial" w:cs="Arial"/>
                <w:b/>
                <w:bCs/>
                <w:color w:val="3366FF"/>
                <w:spacing w:val="-1"/>
                <w:sz w:val="20"/>
                <w:szCs w:val="20"/>
                <w:u w:val="single"/>
                <w:lang w:val="es-SV"/>
              </w:rPr>
              <w:t>.</w:t>
            </w:r>
            <w:r w:rsidRPr="00B4397C">
              <w:rPr>
                <w:rFonts w:ascii="Arial" w:hAnsi="Arial" w:cs="Arial"/>
                <w:color w:val="3366FF"/>
                <w:spacing w:val="-1"/>
                <w:sz w:val="20"/>
                <w:szCs w:val="20"/>
                <w:u w:val="single"/>
                <w:lang w:val="es-SV"/>
              </w:rPr>
              <w:t>)</w:t>
            </w:r>
          </w:p>
          <w:p w:rsidR="00BA7E7E" w:rsidRPr="000E3DC1" w:rsidRDefault="00BA7E7E" w:rsidP="003C2522">
            <w:pPr>
              <w:pStyle w:val="TableParagraph"/>
              <w:numPr>
                <w:ilvl w:val="0"/>
                <w:numId w:val="1"/>
              </w:numPr>
              <w:spacing w:before="51" w:line="244" w:lineRule="auto"/>
              <w:ind w:right="58"/>
              <w:jc w:val="both"/>
              <w:rPr>
                <w:rFonts w:ascii="Trebuchet MS" w:hAnsi="Trebuchet MS" w:cs="Trebuchet MS"/>
                <w:sz w:val="21"/>
                <w:szCs w:val="21"/>
                <w:lang w:val="es-SV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Antiguo edificio de la PGR, situado al costado norte del parque infantil; conteniendo la acumulación documental correspondiente al archivo central e histórico, en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situación de resguardo mientras se le asigna un espacio definitivo.</w:t>
            </w:r>
          </w:p>
        </w:tc>
      </w:tr>
      <w:tr w:rsidR="00BA7E7E" w:rsidRPr="000E3DC1" w:rsidTr="0085430D">
        <w:trPr>
          <w:trHeight w:hRule="exact" w:val="2352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F06516">
            <w:pPr>
              <w:pStyle w:val="TableParagraph"/>
              <w:spacing w:before="50" w:line="244" w:lineRule="auto"/>
              <w:ind w:left="56" w:right="99"/>
              <w:rPr>
                <w:rFonts w:ascii="Trebuchet MS" w:hAnsi="Trebuchet MS" w:cs="Trebuchet MS"/>
                <w:sz w:val="21"/>
                <w:szCs w:val="21"/>
                <w:lang w:val="es-SV"/>
              </w:rPr>
            </w:pP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  <w:lang w:val="es-SV"/>
              </w:rPr>
              <w:t>3.7.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Fondos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otras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colecciones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custodiadas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56" w:right="59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El</w:t>
            </w:r>
            <w:r w:rsidRPr="000E3DC1">
              <w:rPr>
                <w:rFonts w:ascii="Arial" w:hAnsi="Arial" w:cs="Arial"/>
                <w:spacing w:val="32"/>
                <w:sz w:val="20"/>
                <w:szCs w:val="20"/>
                <w:lang w:val="es-SV"/>
              </w:rPr>
              <w:t xml:space="preserve"> Sistema Institucional de Archivos,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está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organizado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estructuralmente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nueve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subfondos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nivel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uno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y 17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subfondos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nivel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dos,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contenidos en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una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medida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aproximada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350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metros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lineales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de estantes.</w:t>
            </w:r>
          </w:p>
          <w:p w:rsidR="00BA7E7E" w:rsidRPr="000E3DC1" w:rsidRDefault="00BA7E7E" w:rsidP="000E3DC1">
            <w:pPr>
              <w:pStyle w:val="TableParagraph"/>
              <w:spacing w:before="8" w:line="240" w:lineRule="atLeast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BA7E7E" w:rsidRPr="000E3DC1" w:rsidRDefault="00BA7E7E" w:rsidP="00B77CF2">
            <w:pPr>
              <w:pStyle w:val="TableParagraph"/>
              <w:spacing w:line="244" w:lineRule="auto"/>
              <w:ind w:left="56" w:right="59"/>
              <w:jc w:val="both"/>
              <w:rPr>
                <w:rFonts w:ascii="Trebuchet MS" w:hAnsi="Trebuchet MS" w:cs="Trebuchet MS"/>
                <w:sz w:val="21"/>
                <w:szCs w:val="21"/>
                <w:lang w:val="es-SV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Esta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información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está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clasificando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por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origen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procedencia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, por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funciones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asuntos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orden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cronológico,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tomando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cuenta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normativa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archivística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internacional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para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descripción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documental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.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(ISAAD-G/ISDIAH).</w:t>
            </w:r>
          </w:p>
        </w:tc>
      </w:tr>
      <w:tr w:rsidR="00BA7E7E" w:rsidRPr="000E3DC1" w:rsidTr="0085430D">
        <w:trPr>
          <w:trHeight w:hRule="exact" w:val="1811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32" w:space="0" w:color="A6A6A6"/>
              <w:right w:val="single" w:sz="8" w:space="0" w:color="000000"/>
            </w:tcBorders>
          </w:tcPr>
          <w:p w:rsidR="00BA7E7E" w:rsidRPr="00206DF9" w:rsidRDefault="00BA7E7E" w:rsidP="000E3DC1">
            <w:pPr>
              <w:pStyle w:val="TableParagraph"/>
              <w:spacing w:before="50" w:line="245" w:lineRule="auto"/>
              <w:ind w:left="56" w:right="99"/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  <w:r w:rsidRPr="00206DF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3.8.Instrumentos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descripción,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guías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206DF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publicaciones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32" w:space="0" w:color="A6A6A6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ind w:left="416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BA7E7E" w:rsidRPr="00B255B0" w:rsidRDefault="00BA7E7E" w:rsidP="00B255B0">
            <w:pPr>
              <w:pStyle w:val="Default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55B0">
              <w:rPr>
                <w:rFonts w:ascii="Arial" w:hAnsi="Arial" w:cs="Arial"/>
                <w:color w:val="auto"/>
                <w:sz w:val="20"/>
                <w:szCs w:val="20"/>
              </w:rPr>
              <w:t>Manual de Procedimientos Archivísticos de las Procuradurías Auxiliares.</w:t>
            </w:r>
          </w:p>
          <w:p w:rsidR="00BA7E7E" w:rsidRPr="00B255B0" w:rsidRDefault="00BA7E7E" w:rsidP="00B255B0">
            <w:pPr>
              <w:pStyle w:val="Default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7E7E" w:rsidRPr="00B255B0" w:rsidRDefault="00BA7E7E" w:rsidP="00B255B0">
            <w:pPr>
              <w:pStyle w:val="Default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55B0">
              <w:rPr>
                <w:rFonts w:ascii="Arial" w:hAnsi="Arial" w:cs="Arial"/>
                <w:color w:val="auto"/>
                <w:sz w:val="20"/>
                <w:szCs w:val="20"/>
              </w:rPr>
              <w:t xml:space="preserve"> Reglamento para el Sistema Institucional de Archivos de la PGR.</w:t>
            </w:r>
          </w:p>
          <w:p w:rsidR="00BA7E7E" w:rsidRPr="00B255B0" w:rsidRDefault="00BA7E7E" w:rsidP="00B255B0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255B0">
              <w:rPr>
                <w:rFonts w:ascii="Arial" w:hAnsi="Arial" w:cs="Arial"/>
                <w:sz w:val="20"/>
                <w:szCs w:val="20"/>
                <w:lang w:val="es-SV"/>
              </w:rPr>
              <w:t xml:space="preserve"> (En proceso de autorización).</w:t>
            </w:r>
          </w:p>
          <w:p w:rsidR="00BA7E7E" w:rsidRDefault="00BA7E7E" w:rsidP="00B076D5">
            <w:pPr>
              <w:pStyle w:val="TableParagraph"/>
              <w:spacing w:before="12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</w:p>
          <w:p w:rsidR="00BA7E7E" w:rsidRPr="00B4397C" w:rsidRDefault="00BA7E7E" w:rsidP="00B076D5">
            <w:pPr>
              <w:pStyle w:val="TableParagraph"/>
              <w:spacing w:before="12"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97C">
              <w:rPr>
                <w:lang w:val="es-ES"/>
              </w:rPr>
              <w:t>(</w:t>
            </w:r>
            <w:r w:rsidRPr="00B4397C">
              <w:rPr>
                <w:b/>
                <w:bCs/>
                <w:color w:val="3366FF"/>
                <w:u w:val="single"/>
                <w:lang w:val="es-ES"/>
              </w:rPr>
              <w:t>Ver Sistema de Clasificación documental de la PGR)</w:t>
            </w:r>
          </w:p>
        </w:tc>
      </w:tr>
      <w:tr w:rsidR="00BA7E7E" w:rsidRPr="000E3DC1" w:rsidTr="0085430D">
        <w:trPr>
          <w:trHeight w:hRule="exact" w:val="327"/>
        </w:trPr>
        <w:tc>
          <w:tcPr>
            <w:tcW w:w="2881" w:type="dxa"/>
            <w:tcBorders>
              <w:top w:val="single" w:sz="32" w:space="0" w:color="A6A6A6"/>
              <w:left w:val="single" w:sz="30" w:space="0" w:color="A6A6A6"/>
              <w:bottom w:val="single" w:sz="30" w:space="0" w:color="A6A6A6"/>
              <w:right w:val="single" w:sz="24" w:space="0" w:color="A6A6A6"/>
            </w:tcBorders>
            <w:shd w:val="clear" w:color="auto" w:fill="A6A6A6"/>
          </w:tcPr>
          <w:p w:rsidR="00BA7E7E" w:rsidRPr="000E3DC1" w:rsidRDefault="00BA7E7E" w:rsidP="000E3DC1">
            <w:pPr>
              <w:pStyle w:val="TableParagraph"/>
              <w:spacing w:line="236" w:lineRule="exact"/>
              <w:ind w:left="27"/>
              <w:rPr>
                <w:rFonts w:ascii="Trebuchet MS" w:hAnsi="Trebuchet MS" w:cs="Trebuchet MS"/>
                <w:sz w:val="21"/>
                <w:szCs w:val="21"/>
              </w:rPr>
            </w:pP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4.</w:t>
            </w:r>
          </w:p>
        </w:tc>
        <w:tc>
          <w:tcPr>
            <w:tcW w:w="8470" w:type="dxa"/>
            <w:tcBorders>
              <w:top w:val="single" w:sz="32" w:space="0" w:color="A6A6A6"/>
              <w:left w:val="single" w:sz="24" w:space="0" w:color="A6A6A6"/>
              <w:bottom w:val="single" w:sz="30" w:space="0" w:color="A6A6A6"/>
              <w:right w:val="single" w:sz="30" w:space="0" w:color="A6A6A6"/>
            </w:tcBorders>
            <w:shd w:val="clear" w:color="auto" w:fill="A6A6A6"/>
          </w:tcPr>
          <w:p w:rsidR="00BA7E7E" w:rsidRPr="000E3DC1" w:rsidRDefault="00BA7E7E" w:rsidP="00142AC3">
            <w:pPr>
              <w:pStyle w:val="TableParagraph"/>
              <w:spacing w:line="236" w:lineRule="exact"/>
              <w:ind w:right="3014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eastAsia="Times New Roman" w:cs="Trebuchet MS"/>
                <w:b/>
                <w:bCs/>
                <w:sz w:val="21"/>
                <w:szCs w:val="21"/>
              </w:rPr>
              <w:t xml:space="preserve">                            </w:t>
            </w:r>
            <w:r w:rsidRPr="000E3DC1">
              <w:rPr>
                <w:rFonts w:ascii="Trebuchet MS" w:eastAsia="Times New Roman" w:cs="Trebuchet MS"/>
                <w:b/>
                <w:bCs/>
                <w:sz w:val="21"/>
                <w:szCs w:val="21"/>
              </w:rPr>
              <w:t>AREA</w:t>
            </w:r>
            <w:r>
              <w:rPr>
                <w:rFonts w:ascii="Trebuchet MS" w:eastAsia="Times New Roman" w:cs="Trebuchet MS"/>
                <w:b/>
                <w:bCs/>
                <w:sz w:val="21"/>
                <w:szCs w:val="21"/>
              </w:rPr>
              <w:t xml:space="preserve"> </w:t>
            </w:r>
            <w:r w:rsidRPr="000E3DC1">
              <w:rPr>
                <w:rFonts w:ascii="Trebuchet MS" w:eastAsia="Times New Roman" w:cs="Trebuchet MS"/>
                <w:b/>
                <w:bCs/>
                <w:sz w:val="21"/>
                <w:szCs w:val="21"/>
              </w:rPr>
              <w:t>DE</w:t>
            </w:r>
            <w:r>
              <w:rPr>
                <w:rFonts w:ascii="Trebuchet MS" w:eastAsia="Times New Roman" w:cs="Trebuchet MS"/>
                <w:b/>
                <w:bCs/>
                <w:sz w:val="21"/>
                <w:szCs w:val="21"/>
              </w:rPr>
              <w:t xml:space="preserve"> </w:t>
            </w:r>
            <w:r w:rsidRPr="000E3DC1">
              <w:rPr>
                <w:rFonts w:ascii="Trebuchet MS" w:eastAsia="Times New Roman" w:cs="Trebuchet MS"/>
                <w:b/>
                <w:bCs/>
                <w:sz w:val="21"/>
                <w:szCs w:val="21"/>
              </w:rPr>
              <w:t>ACCESO</w:t>
            </w:r>
          </w:p>
        </w:tc>
      </w:tr>
      <w:tr w:rsidR="00BA7E7E" w:rsidRPr="000E3DC1" w:rsidTr="0085430D">
        <w:trPr>
          <w:trHeight w:hRule="exact" w:val="1656"/>
        </w:trPr>
        <w:tc>
          <w:tcPr>
            <w:tcW w:w="2881" w:type="dxa"/>
            <w:tcBorders>
              <w:top w:val="single" w:sz="30" w:space="0" w:color="A6A6A6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4.1.Horarios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Atención</w:t>
            </w:r>
          </w:p>
        </w:tc>
        <w:tc>
          <w:tcPr>
            <w:tcW w:w="8470" w:type="dxa"/>
            <w:tcBorders>
              <w:top w:val="single" w:sz="30" w:space="0" w:color="A6A6A6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/>
              <w:ind w:left="115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Atención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usuario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interno:</w:t>
            </w:r>
          </w:p>
          <w:p w:rsidR="00BA7E7E" w:rsidRDefault="00BA7E7E" w:rsidP="00E878F2">
            <w:pPr>
              <w:pStyle w:val="TableParagraph"/>
              <w:spacing w:before="4"/>
              <w:ind w:left="115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lunes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viernes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los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días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hábiles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jornada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 w:rsidRPr="000E3DC1">
              <w:rPr>
                <w:rFonts w:ascii="Arial" w:hAnsi="Arial" w:cs="Arial"/>
                <w:spacing w:val="5"/>
                <w:sz w:val="20"/>
                <w:szCs w:val="20"/>
                <w:lang w:val="es-SV"/>
              </w:rPr>
              <w:t xml:space="preserve"> 8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:00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am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</w:t>
            </w:r>
            <w:r w:rsidRPr="000E3DC1">
              <w:rPr>
                <w:rFonts w:ascii="Arial" w:hAnsi="Arial" w:cs="Arial"/>
                <w:spacing w:val="6"/>
                <w:sz w:val="20"/>
                <w:szCs w:val="20"/>
                <w:lang w:val="es-SV"/>
              </w:rPr>
              <w:t xml:space="preserve"> 4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:00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pm, con receso entre la 1:00 pm a 1:45 pm.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Cerrado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usuario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interno: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33"/>
                <w:w w:val="101"/>
                <w:sz w:val="20"/>
                <w:szCs w:val="20"/>
                <w:lang w:val="es-SV"/>
              </w:rPr>
              <w:t>sábado</w:t>
            </w:r>
            <w:r>
              <w:rPr>
                <w:rFonts w:ascii="Arial" w:hAnsi="Arial" w:cs="Arial"/>
                <w:spacing w:val="33"/>
                <w:w w:val="10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y</w:t>
            </w:r>
            <w:r w:rsidRPr="000E3DC1">
              <w:rPr>
                <w:rFonts w:ascii="Arial" w:hAnsi="Arial" w:cs="Arial"/>
                <w:spacing w:val="7"/>
                <w:sz w:val="20"/>
                <w:szCs w:val="20"/>
                <w:lang w:val="es-SV"/>
              </w:rPr>
              <w:t xml:space="preserve">  do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mingo.</w:t>
            </w:r>
          </w:p>
          <w:p w:rsidR="00BA7E7E" w:rsidRDefault="00BA7E7E" w:rsidP="000E3DC1">
            <w:pPr>
              <w:pStyle w:val="TableParagraph"/>
              <w:spacing w:line="245" w:lineRule="auto"/>
              <w:ind w:left="115" w:right="5399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Atención al usuario externo: </w:t>
            </w:r>
          </w:p>
          <w:p w:rsidR="00BA7E7E" w:rsidRPr="000E3DC1" w:rsidRDefault="00BA7E7E" w:rsidP="000E3DC1">
            <w:pPr>
              <w:pStyle w:val="TableParagraph"/>
              <w:spacing w:line="245" w:lineRule="auto"/>
              <w:ind w:left="115" w:right="5399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El mismo horario. </w:t>
            </w:r>
          </w:p>
          <w:p w:rsidR="00BA7E7E" w:rsidRPr="000E3DC1" w:rsidRDefault="00BA7E7E" w:rsidP="000E3DC1">
            <w:pPr>
              <w:pStyle w:val="TableParagraph"/>
              <w:spacing w:line="243" w:lineRule="exact"/>
              <w:ind w:left="115"/>
              <w:rPr>
                <w:rFonts w:ascii="Trebuchet MS" w:hAnsi="Trebuchet MS" w:cs="Trebuchet MS"/>
                <w:sz w:val="21"/>
                <w:szCs w:val="21"/>
                <w:lang w:val="es-SV"/>
              </w:rPr>
            </w:pPr>
          </w:p>
        </w:tc>
      </w:tr>
      <w:tr w:rsidR="00BA7E7E" w:rsidRPr="000E3DC1" w:rsidTr="0085430D">
        <w:trPr>
          <w:trHeight w:hRule="exact" w:val="1130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6D50">
            <w:pPr>
              <w:pStyle w:val="TableParagraph"/>
              <w:spacing w:before="50" w:line="244" w:lineRule="auto"/>
              <w:ind w:left="56" w:right="99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4.2. Condiciones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>requisitos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para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el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uso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el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acceso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del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personal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interno.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Default="00BA7E7E" w:rsidP="00527416">
            <w:pPr>
              <w:pStyle w:val="TableParagraph"/>
              <w:spacing w:before="50" w:line="244" w:lineRule="auto"/>
              <w:ind w:left="115" w:right="58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Los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empleados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institución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tendrán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acceso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información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y/o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documentos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archivo,</w:t>
            </w:r>
          </w:p>
          <w:p w:rsidR="00BA7E7E" w:rsidRDefault="00BA7E7E" w:rsidP="0037038C">
            <w:pPr>
              <w:pStyle w:val="TableParagraph"/>
              <w:spacing w:before="50" w:line="244" w:lineRule="auto"/>
              <w:ind w:left="115" w:right="58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p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ara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cual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harán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una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solicitud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(formulario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préstamo)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escrita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firmada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por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coordinador</w:t>
            </w:r>
          </w:p>
          <w:p w:rsidR="00BA7E7E" w:rsidRPr="000E3DC1" w:rsidRDefault="00BA7E7E" w:rsidP="0037038C">
            <w:pPr>
              <w:pStyle w:val="TableParagraph"/>
              <w:spacing w:before="50" w:line="244" w:lineRule="auto"/>
              <w:ind w:left="115" w:right="58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cada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14"/>
                <w:sz w:val="20"/>
                <w:szCs w:val="20"/>
                <w:lang w:val="es-SV"/>
              </w:rPr>
              <w:t>unidad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,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 xml:space="preserve"> para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control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salida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devolución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 w:rsidRPr="000E3DC1">
              <w:rPr>
                <w:rFonts w:ascii="Arial" w:hAnsi="Arial" w:cs="Arial"/>
                <w:spacing w:val="51"/>
                <w:w w:val="101"/>
                <w:sz w:val="20"/>
                <w:szCs w:val="20"/>
                <w:lang w:val="es-SV"/>
              </w:rPr>
              <w:t xml:space="preserve"> los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documentos.</w:t>
            </w:r>
          </w:p>
        </w:tc>
      </w:tr>
      <w:tr w:rsidR="00BA7E7E" w:rsidRPr="000E3DC1" w:rsidTr="0085430D">
        <w:trPr>
          <w:trHeight w:hRule="exact" w:val="733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56" w:right="99"/>
              <w:rPr>
                <w:rFonts w:ascii="Arial" w:hAnsi="Arial" w:cs="Arial"/>
                <w:sz w:val="18"/>
                <w:szCs w:val="18"/>
                <w:lang w:val="es-SV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>4.2.1Condiciones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>requisitos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para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el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uso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el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acceso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>solicitantes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SV"/>
              </w:rPr>
              <w:t>externos.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115" w:right="159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Las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personas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externas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que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soliciten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información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institución</w:t>
            </w:r>
            <w:r>
              <w:rPr>
                <w:rFonts w:ascii="Arial" w:hAnsi="Arial" w:cs="Arial"/>
                <w:spacing w:val="9"/>
                <w:sz w:val="20"/>
                <w:szCs w:val="20"/>
                <w:lang w:val="es-SV"/>
              </w:rPr>
              <w:t>, la tramitan en la Unidad de Acceso a la Información Pública, ubicada en la primera planta del edificio PGR, centro de gobierno.</w:t>
            </w:r>
          </w:p>
        </w:tc>
      </w:tr>
      <w:tr w:rsidR="00BA7E7E" w:rsidRPr="000E3DC1" w:rsidTr="0085430D">
        <w:trPr>
          <w:trHeight w:hRule="exact" w:val="935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32" w:space="0" w:color="A6A6A6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1"/>
              <w:ind w:left="56"/>
              <w:rPr>
                <w:rFonts w:ascii="Arial" w:hAnsi="Arial" w:cs="Arial"/>
                <w:sz w:val="21"/>
                <w:szCs w:val="21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4.3.Accesibilidad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32" w:space="0" w:color="A6A6A6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62" w:line="244" w:lineRule="auto"/>
              <w:ind w:left="115" w:right="113" w:hanging="1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El ingreso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sobre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9ª. Calle Pte. y 13 av. Nte.;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Torre PGR,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Centro de Gobierno,</w:t>
            </w:r>
          </w:p>
          <w:p w:rsidR="00BA7E7E" w:rsidRPr="000E3DC1" w:rsidRDefault="00BA7E7E" w:rsidP="000E3DC1">
            <w:pPr>
              <w:pStyle w:val="TableParagraph"/>
              <w:spacing w:before="62" w:line="244" w:lineRule="auto"/>
              <w:ind w:left="115" w:right="113" w:hanging="1"/>
              <w:rPr>
                <w:rFonts w:ascii="Trebuchet MS" w:hAnsi="Trebuchet MS" w:cs="Trebuchet MS"/>
                <w:sz w:val="21"/>
                <w:szCs w:val="21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 xml:space="preserve">San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Salvador.</w:t>
            </w:r>
          </w:p>
        </w:tc>
      </w:tr>
      <w:tr w:rsidR="00BA7E7E" w:rsidRPr="000E3DC1" w:rsidTr="0085430D">
        <w:trPr>
          <w:trHeight w:hRule="exact" w:val="325"/>
        </w:trPr>
        <w:tc>
          <w:tcPr>
            <w:tcW w:w="2881" w:type="dxa"/>
            <w:tcBorders>
              <w:top w:val="single" w:sz="32" w:space="0" w:color="A6A6A6"/>
              <w:left w:val="single" w:sz="30" w:space="0" w:color="A6A6A6"/>
              <w:bottom w:val="single" w:sz="32" w:space="0" w:color="A6A6A6"/>
              <w:right w:val="single" w:sz="24" w:space="0" w:color="A6A6A6"/>
            </w:tcBorders>
            <w:shd w:val="clear" w:color="auto" w:fill="A6A6A6"/>
          </w:tcPr>
          <w:p w:rsidR="00BA7E7E" w:rsidRPr="000E3DC1" w:rsidRDefault="00BA7E7E" w:rsidP="000E3DC1">
            <w:pPr>
              <w:pStyle w:val="TableParagraph"/>
              <w:spacing w:line="235" w:lineRule="exact"/>
              <w:ind w:left="27"/>
              <w:rPr>
                <w:rFonts w:ascii="Trebuchet MS" w:hAnsi="Trebuchet MS" w:cs="Trebuchet MS"/>
                <w:sz w:val="21"/>
                <w:szCs w:val="21"/>
              </w:rPr>
            </w:pP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5.</w:t>
            </w:r>
          </w:p>
        </w:tc>
        <w:tc>
          <w:tcPr>
            <w:tcW w:w="8470" w:type="dxa"/>
            <w:tcBorders>
              <w:top w:val="single" w:sz="32" w:space="0" w:color="A6A6A6"/>
              <w:left w:val="single" w:sz="24" w:space="0" w:color="A6A6A6"/>
              <w:bottom w:val="single" w:sz="32" w:space="0" w:color="A6A6A6"/>
              <w:right w:val="single" w:sz="30" w:space="0" w:color="A6A6A6"/>
            </w:tcBorders>
            <w:shd w:val="clear" w:color="auto" w:fill="A6A6A6"/>
          </w:tcPr>
          <w:p w:rsidR="00BA7E7E" w:rsidRPr="000E3DC1" w:rsidRDefault="00BA7E7E" w:rsidP="00142AC3">
            <w:pPr>
              <w:pStyle w:val="TableParagraph"/>
              <w:spacing w:line="235" w:lineRule="exact"/>
              <w:ind w:right="3014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 xml:space="preserve">                               </w:t>
            </w: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AREA</w:t>
            </w:r>
            <w:r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DE</w:t>
            </w:r>
            <w:r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E3DC1">
              <w:rPr>
                <w:rFonts w:ascii="Trebuchet MS" w:eastAsia="Times New Roman" w:cs="Trebuchet MS"/>
                <w:b/>
                <w:bCs/>
                <w:spacing w:val="-1"/>
                <w:sz w:val="21"/>
                <w:szCs w:val="21"/>
              </w:rPr>
              <w:t>SERVICIOS</w:t>
            </w:r>
          </w:p>
        </w:tc>
      </w:tr>
      <w:tr w:rsidR="00BA7E7E" w:rsidRPr="000E3DC1" w:rsidTr="0085430D">
        <w:trPr>
          <w:trHeight w:hRule="exact" w:val="912"/>
        </w:trPr>
        <w:tc>
          <w:tcPr>
            <w:tcW w:w="2881" w:type="dxa"/>
            <w:tcBorders>
              <w:top w:val="single" w:sz="32" w:space="0" w:color="A6A6A6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56" w:right="99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5.1.Servicios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ayuda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investigación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.</w:t>
            </w:r>
          </w:p>
        </w:tc>
        <w:tc>
          <w:tcPr>
            <w:tcW w:w="8470" w:type="dxa"/>
            <w:tcBorders>
              <w:top w:val="single" w:sz="32" w:space="0" w:color="A6A6A6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115" w:right="113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Unidad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Acceso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Información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Pública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coordinará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los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aspectos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relacionados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con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archivo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cuanto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los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servicios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solicitud de información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.</w:t>
            </w:r>
          </w:p>
        </w:tc>
      </w:tr>
      <w:tr w:rsidR="00BA7E7E" w:rsidRPr="000E3DC1" w:rsidTr="0085430D">
        <w:trPr>
          <w:trHeight w:hRule="exact" w:val="881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175" w:line="244" w:lineRule="auto"/>
              <w:ind w:left="56" w:right="99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5.2. Servicios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reproducción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142AC3">
            <w:pPr>
              <w:pStyle w:val="TableParagraph"/>
              <w:spacing w:before="50" w:line="244" w:lineRule="auto"/>
              <w:ind w:left="115" w:right="113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reproducción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documentos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corresponde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autorizarla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coordinación o unidad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interesada,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previo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cumplimiento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las regulaciones respectivas.</w:t>
            </w:r>
          </w:p>
        </w:tc>
      </w:tr>
      <w:tr w:rsidR="00BA7E7E" w:rsidRPr="000E3DC1" w:rsidTr="0085430D">
        <w:trPr>
          <w:trHeight w:hRule="exact" w:val="1184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32" w:space="0" w:color="A6A6A6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20" w:line="280" w:lineRule="atLeast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BA7E7E" w:rsidRPr="000E3DC1" w:rsidRDefault="00BA7E7E" w:rsidP="000E3DC1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5.3. Espacios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32" w:space="0" w:color="A6A6A6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20" w:line="280" w:lineRule="atLeast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BA7E7E" w:rsidRPr="000E3DC1" w:rsidRDefault="00BA7E7E" w:rsidP="00BA018B">
            <w:pPr>
              <w:pStyle w:val="TableParagraph"/>
              <w:spacing w:line="244" w:lineRule="auto"/>
              <w:ind w:left="115" w:right="113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El archivo central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cuenta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con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un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espacio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para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atención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del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solicitante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que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requieran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documentos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consultas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, los demás archivos locales no lo tienen.</w:t>
            </w:r>
          </w:p>
        </w:tc>
      </w:tr>
      <w:tr w:rsidR="00BA7E7E" w:rsidRPr="000E3DC1" w:rsidTr="0085430D">
        <w:trPr>
          <w:trHeight w:hRule="exact" w:val="325"/>
        </w:trPr>
        <w:tc>
          <w:tcPr>
            <w:tcW w:w="2881" w:type="dxa"/>
            <w:tcBorders>
              <w:top w:val="single" w:sz="32" w:space="0" w:color="A6A6A6"/>
              <w:left w:val="single" w:sz="30" w:space="0" w:color="A6A6A6"/>
              <w:bottom w:val="single" w:sz="30" w:space="0" w:color="A6A6A6"/>
              <w:right w:val="single" w:sz="24" w:space="0" w:color="A6A6A6"/>
            </w:tcBorders>
            <w:shd w:val="clear" w:color="auto" w:fill="A6A6A6"/>
          </w:tcPr>
          <w:p w:rsidR="00BA7E7E" w:rsidRPr="000E3DC1" w:rsidRDefault="00BA7E7E" w:rsidP="000E3DC1">
            <w:pPr>
              <w:pStyle w:val="TableParagraph"/>
              <w:spacing w:line="234" w:lineRule="exac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6.</w:t>
            </w:r>
          </w:p>
        </w:tc>
        <w:tc>
          <w:tcPr>
            <w:tcW w:w="8470" w:type="dxa"/>
            <w:tcBorders>
              <w:top w:val="single" w:sz="32" w:space="0" w:color="A6A6A6"/>
              <w:left w:val="single" w:sz="24" w:space="0" w:color="A6A6A6"/>
              <w:bottom w:val="single" w:sz="30" w:space="0" w:color="A6A6A6"/>
              <w:right w:val="single" w:sz="30" w:space="0" w:color="A6A6A6"/>
            </w:tcBorders>
            <w:shd w:val="clear" w:color="auto" w:fill="A6A6A6"/>
          </w:tcPr>
          <w:p w:rsidR="00BA7E7E" w:rsidRPr="000E3DC1" w:rsidRDefault="00BA7E7E" w:rsidP="00142AC3">
            <w:pPr>
              <w:pStyle w:val="TableParagraph"/>
              <w:spacing w:line="234" w:lineRule="exact"/>
              <w:ind w:right="30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CONTROL</w:t>
            </w:r>
          </w:p>
        </w:tc>
      </w:tr>
      <w:tr w:rsidR="00BA7E7E" w:rsidRPr="000E3DC1" w:rsidTr="0085430D">
        <w:trPr>
          <w:trHeight w:hRule="exact" w:val="956"/>
        </w:trPr>
        <w:tc>
          <w:tcPr>
            <w:tcW w:w="2881" w:type="dxa"/>
            <w:tcBorders>
              <w:top w:val="single" w:sz="30" w:space="0" w:color="A6A6A6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5" w:lineRule="auto"/>
              <w:ind w:left="56" w:right="99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6.1. Identificador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0" w:type="dxa"/>
            <w:tcBorders>
              <w:top w:val="single" w:sz="30" w:space="0" w:color="A6A6A6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Default="00BA7E7E" w:rsidP="000E3DC1">
            <w:pPr>
              <w:pStyle w:val="TableParagraph"/>
              <w:spacing w:before="175"/>
              <w:ind w:left="56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sz w:val="20"/>
                <w:szCs w:val="20"/>
                <w:lang w:val="es-SV"/>
              </w:rPr>
              <w:t>SV-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SIGDA</w:t>
            </w:r>
          </w:p>
          <w:p w:rsidR="00BA7E7E" w:rsidRPr="000E3DC1" w:rsidRDefault="00BA7E7E" w:rsidP="000E3DC1">
            <w:pPr>
              <w:pStyle w:val="TableParagraph"/>
              <w:spacing w:before="175"/>
              <w:ind w:left="56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El Salvador, Archivo Institucional</w:t>
            </w:r>
          </w:p>
        </w:tc>
      </w:tr>
      <w:tr w:rsidR="00BA7E7E" w:rsidRPr="000E3DC1" w:rsidTr="0085430D">
        <w:trPr>
          <w:trHeight w:hRule="exact" w:val="881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56" w:right="99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6.2. Identificador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20" w:line="280" w:lineRule="atLeast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BA7E7E" w:rsidRDefault="00BA7E7E" w:rsidP="000E3DC1">
            <w:pPr>
              <w:pStyle w:val="TableParagraph"/>
              <w:ind w:left="56"/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SV-Unidad de Gestión Documental y Archivos. UGDA</w:t>
            </w:r>
          </w:p>
          <w:p w:rsidR="00BA7E7E" w:rsidRPr="000E3DC1" w:rsidRDefault="00BA7E7E" w:rsidP="000E3DC1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El Salvador, Procuraduría General de la República. PGR</w:t>
            </w:r>
          </w:p>
        </w:tc>
      </w:tr>
      <w:tr w:rsidR="00BA7E7E" w:rsidRPr="000E3DC1" w:rsidTr="0085430D">
        <w:trPr>
          <w:trHeight w:hRule="exact" w:val="881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DE1B00" w:rsidRDefault="00BA7E7E" w:rsidP="000E3DC1">
            <w:pPr>
              <w:pStyle w:val="TableParagraph"/>
              <w:spacing w:before="50" w:line="244" w:lineRule="auto"/>
              <w:ind w:left="56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E1B00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6.3.Reglas y/o </w:t>
            </w:r>
            <w:r w:rsidRPr="00DE1B0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convenciones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DE1B00" w:rsidRDefault="00BA7E7E" w:rsidP="000E3DC1">
            <w:pPr>
              <w:pStyle w:val="TableParagraph"/>
              <w:spacing w:before="19" w:line="280" w:lineRule="atLeast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BA7E7E" w:rsidRPr="00DE1B00" w:rsidRDefault="00BA7E7E" w:rsidP="000E3DC1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E1B0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ISAAD-G / ISDIAH</w:t>
            </w:r>
          </w:p>
        </w:tc>
      </w:tr>
      <w:tr w:rsidR="00BA7E7E" w:rsidRPr="000E3DC1" w:rsidTr="0085430D">
        <w:trPr>
          <w:trHeight w:hRule="exact" w:val="634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DE1B00" w:rsidRDefault="00BA7E7E" w:rsidP="00C044F9">
            <w:pPr>
              <w:pStyle w:val="TableParagraph"/>
              <w:spacing w:before="50" w:line="244" w:lineRule="auto"/>
              <w:ind w:left="56" w:right="166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E1B0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6.4.Estado de elaboración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174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DE1B00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Borrador de la de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 xml:space="preserve">scripción </w:t>
            </w:r>
          </w:p>
        </w:tc>
      </w:tr>
      <w:tr w:rsidR="00BA7E7E" w:rsidRPr="000E3DC1" w:rsidTr="0085430D">
        <w:trPr>
          <w:trHeight w:hRule="exact" w:val="833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6" w:line="1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A7E7E" w:rsidRPr="000E3DC1" w:rsidRDefault="00BA7E7E" w:rsidP="000E3DC1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6.5.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detalle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6" w:line="1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A7E7E" w:rsidRPr="000E3DC1" w:rsidRDefault="00BA7E7E" w:rsidP="000E3DC1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>Descripción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 xml:space="preserve">básica </w:t>
            </w:r>
          </w:p>
        </w:tc>
      </w:tr>
      <w:tr w:rsidR="00BA7E7E" w:rsidRPr="000E3DC1" w:rsidTr="0085430D">
        <w:trPr>
          <w:trHeight w:hRule="exact" w:val="972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1" w:line="244" w:lineRule="auto"/>
              <w:ind w:left="56" w:right="99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6.6.Fechas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creación,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revisión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eliminación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D64857">
            <w:pPr>
              <w:pStyle w:val="TableParagraph"/>
              <w:spacing w:before="175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18-11-2015</w:t>
            </w: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>(ISO8601)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15/02/2017</w:t>
            </w:r>
          </w:p>
        </w:tc>
      </w:tr>
      <w:tr w:rsidR="00BA7E7E" w:rsidRPr="000E3DC1" w:rsidTr="0085430D">
        <w:trPr>
          <w:trHeight w:hRule="exact" w:val="632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56" w:right="99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>6.7.Lengua(s)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escritura(s)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174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E3DC1">
              <w:rPr>
                <w:rFonts w:ascii="Arial" w:hAnsi="Arial" w:cs="Arial"/>
                <w:spacing w:val="-1"/>
                <w:sz w:val="20"/>
                <w:szCs w:val="20"/>
              </w:rPr>
              <w:t>Español-</w:t>
            </w:r>
            <w:r w:rsidRPr="000E3DC1">
              <w:rPr>
                <w:rFonts w:ascii="Arial" w:hAnsi="Arial" w:cs="Arial"/>
                <w:sz w:val="20"/>
                <w:szCs w:val="20"/>
              </w:rPr>
              <w:t>Spa(ISO639-2)</w:t>
            </w:r>
          </w:p>
        </w:tc>
      </w:tr>
      <w:tr w:rsidR="00BA7E7E" w:rsidRPr="000E3DC1" w:rsidTr="0085430D">
        <w:trPr>
          <w:trHeight w:hRule="exact" w:val="1516"/>
        </w:trPr>
        <w:tc>
          <w:tcPr>
            <w:tcW w:w="2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E7E" w:rsidRPr="000E3DC1" w:rsidRDefault="00BA7E7E" w:rsidP="000E3DC1">
            <w:pPr>
              <w:pStyle w:val="TableParagraph"/>
              <w:spacing w:before="50" w:line="244" w:lineRule="auto"/>
              <w:ind w:left="56" w:right="99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6.8. Notas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 xml:space="preserve">  </w:t>
            </w:r>
            <w:r w:rsidRPr="000E3DC1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mantenimiento</w:t>
            </w:r>
          </w:p>
        </w:tc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7E7E" w:rsidRPr="00334B01" w:rsidRDefault="00BA7E7E" w:rsidP="004E02BC">
            <w:pPr>
              <w:pStyle w:val="TableParagraph"/>
              <w:spacing w:before="173" w:line="244" w:lineRule="auto"/>
              <w:ind w:left="56" w:right="2633"/>
              <w:rPr>
                <w:rFonts w:ascii="Arial" w:hAnsi="Arial" w:cs="Arial"/>
                <w:spacing w:val="57"/>
                <w:w w:val="101"/>
                <w:sz w:val="20"/>
                <w:szCs w:val="20"/>
                <w:lang w:val="es-SV"/>
              </w:rPr>
            </w:pPr>
          </w:p>
          <w:p w:rsidR="00BA7E7E" w:rsidRPr="000E3DC1" w:rsidRDefault="00BA7E7E" w:rsidP="00947B86">
            <w:pPr>
              <w:pStyle w:val="TableParagraph"/>
              <w:spacing w:before="173" w:line="244" w:lineRule="auto"/>
              <w:ind w:left="56" w:right="2633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Immer Ayala V.   Oficial </w:t>
            </w:r>
            <w:r w:rsidRPr="00334B01">
              <w:rPr>
                <w:rFonts w:ascii="Arial" w:hAnsi="Arial" w:cs="Arial"/>
                <w:sz w:val="20"/>
                <w:szCs w:val="20"/>
                <w:lang w:val="es-SV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  <w:lang w:val="es-SV"/>
              </w:rPr>
              <w:t xml:space="preserve">Unidad </w:t>
            </w:r>
            <w:r w:rsidRPr="00B339FC"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>de Gestión Documental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SV"/>
              </w:rPr>
              <w:t xml:space="preserve"> y Archivos. (UGDA)</w:t>
            </w:r>
          </w:p>
        </w:tc>
      </w:tr>
    </w:tbl>
    <w:p w:rsidR="00BA7E7E" w:rsidRPr="00130A17" w:rsidRDefault="00BA7E7E"/>
    <w:sectPr w:rsidR="00BA7E7E" w:rsidRPr="00130A17" w:rsidSect="00B076D5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7E" w:rsidRDefault="00BA7E7E" w:rsidP="002D3019">
      <w:pPr>
        <w:spacing w:after="0" w:line="240" w:lineRule="auto"/>
      </w:pPr>
      <w:r>
        <w:separator/>
      </w:r>
    </w:p>
  </w:endnote>
  <w:endnote w:type="continuationSeparator" w:id="1">
    <w:p w:rsidR="00BA7E7E" w:rsidRDefault="00BA7E7E" w:rsidP="002D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7E" w:rsidRDefault="00BA7E7E" w:rsidP="002D3019">
      <w:pPr>
        <w:spacing w:after="0" w:line="240" w:lineRule="auto"/>
      </w:pPr>
      <w:r>
        <w:separator/>
      </w:r>
    </w:p>
  </w:footnote>
  <w:footnote w:type="continuationSeparator" w:id="1">
    <w:p w:rsidR="00BA7E7E" w:rsidRDefault="00BA7E7E" w:rsidP="002D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0183"/>
    <w:multiLevelType w:val="hybridMultilevel"/>
    <w:tmpl w:val="513E0C82"/>
    <w:lvl w:ilvl="0" w:tplc="5628B086">
      <w:start w:val="2"/>
      <w:numFmt w:val="bullet"/>
      <w:lvlText w:val="-"/>
      <w:lvlJc w:val="left"/>
      <w:pPr>
        <w:ind w:left="923" w:hanging="360"/>
      </w:pPr>
      <w:rPr>
        <w:rFonts w:ascii="Trebuchet MS" w:eastAsia="Times New Roman" w:hAnsi="Trebuchet MS" w:hint="default"/>
      </w:rPr>
    </w:lvl>
    <w:lvl w:ilvl="1" w:tplc="440A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363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3083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523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243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83" w:hanging="360"/>
      </w:pPr>
      <w:rPr>
        <w:rFonts w:ascii="Wingdings" w:hAnsi="Wingdings" w:cs="Wingdings" w:hint="default"/>
      </w:rPr>
    </w:lvl>
  </w:abstractNum>
  <w:abstractNum w:abstractNumId="1">
    <w:nsid w:val="350C47BA"/>
    <w:multiLevelType w:val="multilevel"/>
    <w:tmpl w:val="E8605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-"/>
      <w:lvlJc w:val="left"/>
      <w:pPr>
        <w:ind w:left="416" w:hanging="36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832" w:hanging="720"/>
      </w:pPr>
      <w:rPr>
        <w:rFonts w:hint="default"/>
        <w:b/>
        <w:bCs/>
      </w:rPr>
    </w:lvl>
    <w:lvl w:ilvl="3">
      <w:start w:val="1"/>
      <w:numFmt w:val="decimal"/>
      <w:lvlText w:val="%1.%2-%3.%4."/>
      <w:lvlJc w:val="left"/>
      <w:pPr>
        <w:ind w:left="888" w:hanging="72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ind w:left="130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ind w:left="1360" w:hanging="108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ind w:left="177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ind w:left="1832" w:hanging="144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ind w:left="2248" w:hanging="1800"/>
      </w:pPr>
      <w:rPr>
        <w:rFonts w:hint="default"/>
        <w:b/>
        <w:bCs/>
      </w:rPr>
    </w:lvl>
  </w:abstractNum>
  <w:abstractNum w:abstractNumId="2">
    <w:nsid w:val="79A63733"/>
    <w:multiLevelType w:val="hybridMultilevel"/>
    <w:tmpl w:val="AAEA7302"/>
    <w:lvl w:ilvl="0" w:tplc="5628B086">
      <w:start w:val="2"/>
      <w:numFmt w:val="bullet"/>
      <w:lvlText w:val="-"/>
      <w:lvlJc w:val="left"/>
      <w:pPr>
        <w:ind w:left="416" w:hanging="360"/>
      </w:pPr>
      <w:rPr>
        <w:rFonts w:ascii="Trebuchet MS" w:eastAsia="Times New Roman" w:hAnsi="Trebuchet MS" w:hint="default"/>
      </w:rPr>
    </w:lvl>
    <w:lvl w:ilvl="1" w:tplc="440A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56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576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016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4736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76" w:hanging="360"/>
      </w:pPr>
      <w:rPr>
        <w:rFonts w:ascii="Wingdings" w:hAnsi="Wingdings" w:cs="Wingdings" w:hint="default"/>
      </w:rPr>
    </w:lvl>
  </w:abstractNum>
  <w:abstractNum w:abstractNumId="3">
    <w:nsid w:val="7EA14968"/>
    <w:multiLevelType w:val="hybridMultilevel"/>
    <w:tmpl w:val="C7EE739E"/>
    <w:lvl w:ilvl="0" w:tplc="52A88BDA">
      <w:start w:val="1"/>
      <w:numFmt w:val="decimal"/>
      <w:lvlText w:val="%1-"/>
      <w:lvlJc w:val="left"/>
      <w:pPr>
        <w:ind w:left="41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136" w:hanging="360"/>
      </w:pPr>
    </w:lvl>
    <w:lvl w:ilvl="2" w:tplc="440A001B">
      <w:start w:val="1"/>
      <w:numFmt w:val="lowerRoman"/>
      <w:lvlText w:val="%3."/>
      <w:lvlJc w:val="right"/>
      <w:pPr>
        <w:ind w:left="1856" w:hanging="180"/>
      </w:pPr>
    </w:lvl>
    <w:lvl w:ilvl="3" w:tplc="440A000F">
      <w:start w:val="1"/>
      <w:numFmt w:val="decimal"/>
      <w:lvlText w:val="%4."/>
      <w:lvlJc w:val="left"/>
      <w:pPr>
        <w:ind w:left="2576" w:hanging="360"/>
      </w:pPr>
    </w:lvl>
    <w:lvl w:ilvl="4" w:tplc="440A0019">
      <w:start w:val="1"/>
      <w:numFmt w:val="lowerLetter"/>
      <w:lvlText w:val="%5."/>
      <w:lvlJc w:val="left"/>
      <w:pPr>
        <w:ind w:left="3296" w:hanging="360"/>
      </w:pPr>
    </w:lvl>
    <w:lvl w:ilvl="5" w:tplc="440A001B">
      <w:start w:val="1"/>
      <w:numFmt w:val="lowerRoman"/>
      <w:lvlText w:val="%6."/>
      <w:lvlJc w:val="right"/>
      <w:pPr>
        <w:ind w:left="4016" w:hanging="180"/>
      </w:pPr>
    </w:lvl>
    <w:lvl w:ilvl="6" w:tplc="440A000F">
      <w:start w:val="1"/>
      <w:numFmt w:val="decimal"/>
      <w:lvlText w:val="%7."/>
      <w:lvlJc w:val="left"/>
      <w:pPr>
        <w:ind w:left="4736" w:hanging="360"/>
      </w:pPr>
    </w:lvl>
    <w:lvl w:ilvl="7" w:tplc="440A0019">
      <w:start w:val="1"/>
      <w:numFmt w:val="lowerLetter"/>
      <w:lvlText w:val="%8."/>
      <w:lvlJc w:val="left"/>
      <w:pPr>
        <w:ind w:left="5456" w:hanging="360"/>
      </w:pPr>
    </w:lvl>
    <w:lvl w:ilvl="8" w:tplc="440A001B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A17"/>
    <w:rsid w:val="00000EE1"/>
    <w:rsid w:val="00016595"/>
    <w:rsid w:val="00016CEC"/>
    <w:rsid w:val="00031838"/>
    <w:rsid w:val="0004654B"/>
    <w:rsid w:val="00047A5C"/>
    <w:rsid w:val="00055557"/>
    <w:rsid w:val="00064C3E"/>
    <w:rsid w:val="0008501E"/>
    <w:rsid w:val="00093906"/>
    <w:rsid w:val="000A445C"/>
    <w:rsid w:val="000A515B"/>
    <w:rsid w:val="000B0AE6"/>
    <w:rsid w:val="000B2882"/>
    <w:rsid w:val="000E02C7"/>
    <w:rsid w:val="000E3DC1"/>
    <w:rsid w:val="000E44D8"/>
    <w:rsid w:val="000E6D50"/>
    <w:rsid w:val="000F046B"/>
    <w:rsid w:val="00104DC6"/>
    <w:rsid w:val="001056E9"/>
    <w:rsid w:val="00113682"/>
    <w:rsid w:val="0012165C"/>
    <w:rsid w:val="0012476C"/>
    <w:rsid w:val="00130A17"/>
    <w:rsid w:val="00134DE2"/>
    <w:rsid w:val="00142AC3"/>
    <w:rsid w:val="001616B5"/>
    <w:rsid w:val="00163D16"/>
    <w:rsid w:val="00164682"/>
    <w:rsid w:val="00184C4F"/>
    <w:rsid w:val="001A0B1A"/>
    <w:rsid w:val="001A5E49"/>
    <w:rsid w:val="001B3A20"/>
    <w:rsid w:val="001F10F5"/>
    <w:rsid w:val="001F5A36"/>
    <w:rsid w:val="00201AAC"/>
    <w:rsid w:val="00206DF9"/>
    <w:rsid w:val="00206EEA"/>
    <w:rsid w:val="00233529"/>
    <w:rsid w:val="0025614D"/>
    <w:rsid w:val="002631C0"/>
    <w:rsid w:val="00265821"/>
    <w:rsid w:val="0029123A"/>
    <w:rsid w:val="00294AB0"/>
    <w:rsid w:val="002A0408"/>
    <w:rsid w:val="002B5857"/>
    <w:rsid w:val="002D3019"/>
    <w:rsid w:val="002D41A4"/>
    <w:rsid w:val="002E03EC"/>
    <w:rsid w:val="002E21BB"/>
    <w:rsid w:val="003016E2"/>
    <w:rsid w:val="00303EA7"/>
    <w:rsid w:val="003072D9"/>
    <w:rsid w:val="00311018"/>
    <w:rsid w:val="003236DD"/>
    <w:rsid w:val="0032509D"/>
    <w:rsid w:val="00325F5B"/>
    <w:rsid w:val="00334B01"/>
    <w:rsid w:val="00343DFB"/>
    <w:rsid w:val="00361609"/>
    <w:rsid w:val="0037038C"/>
    <w:rsid w:val="00385E7B"/>
    <w:rsid w:val="003918FA"/>
    <w:rsid w:val="003A24BA"/>
    <w:rsid w:val="003B2D95"/>
    <w:rsid w:val="003B4701"/>
    <w:rsid w:val="003C2522"/>
    <w:rsid w:val="003C45C5"/>
    <w:rsid w:val="003E5DB3"/>
    <w:rsid w:val="003F20F6"/>
    <w:rsid w:val="00405EAC"/>
    <w:rsid w:val="004067C9"/>
    <w:rsid w:val="004131CA"/>
    <w:rsid w:val="00421CAF"/>
    <w:rsid w:val="00450BDA"/>
    <w:rsid w:val="00467328"/>
    <w:rsid w:val="00482CA4"/>
    <w:rsid w:val="00492579"/>
    <w:rsid w:val="004A0EB7"/>
    <w:rsid w:val="004A1325"/>
    <w:rsid w:val="004A3EB1"/>
    <w:rsid w:val="004A48F0"/>
    <w:rsid w:val="004A6D6A"/>
    <w:rsid w:val="004C794A"/>
    <w:rsid w:val="004D6214"/>
    <w:rsid w:val="004E02BC"/>
    <w:rsid w:val="004E235E"/>
    <w:rsid w:val="004F79A3"/>
    <w:rsid w:val="00510B1B"/>
    <w:rsid w:val="00527416"/>
    <w:rsid w:val="005276B7"/>
    <w:rsid w:val="00530E48"/>
    <w:rsid w:val="005372F5"/>
    <w:rsid w:val="0054021A"/>
    <w:rsid w:val="00547168"/>
    <w:rsid w:val="0057410E"/>
    <w:rsid w:val="0058663B"/>
    <w:rsid w:val="00594CDD"/>
    <w:rsid w:val="005A2AC3"/>
    <w:rsid w:val="005B4DEA"/>
    <w:rsid w:val="005D6BDA"/>
    <w:rsid w:val="005E0639"/>
    <w:rsid w:val="005E1DCE"/>
    <w:rsid w:val="005E72EF"/>
    <w:rsid w:val="005F794D"/>
    <w:rsid w:val="00615B5E"/>
    <w:rsid w:val="00617814"/>
    <w:rsid w:val="00627959"/>
    <w:rsid w:val="00632293"/>
    <w:rsid w:val="00635E2A"/>
    <w:rsid w:val="006443D1"/>
    <w:rsid w:val="006443EC"/>
    <w:rsid w:val="00646C5E"/>
    <w:rsid w:val="00650977"/>
    <w:rsid w:val="00673C90"/>
    <w:rsid w:val="00680E35"/>
    <w:rsid w:val="00683332"/>
    <w:rsid w:val="006A2D30"/>
    <w:rsid w:val="006A77B6"/>
    <w:rsid w:val="006C097D"/>
    <w:rsid w:val="006C2A99"/>
    <w:rsid w:val="006D2C2B"/>
    <w:rsid w:val="006E1ED2"/>
    <w:rsid w:val="006F00D7"/>
    <w:rsid w:val="006F5785"/>
    <w:rsid w:val="00701C2A"/>
    <w:rsid w:val="00716984"/>
    <w:rsid w:val="00726919"/>
    <w:rsid w:val="0073061B"/>
    <w:rsid w:val="0073596D"/>
    <w:rsid w:val="00735EA2"/>
    <w:rsid w:val="00774C56"/>
    <w:rsid w:val="007873C6"/>
    <w:rsid w:val="00794091"/>
    <w:rsid w:val="007A3D3C"/>
    <w:rsid w:val="007C45BA"/>
    <w:rsid w:val="00800B0F"/>
    <w:rsid w:val="00830747"/>
    <w:rsid w:val="00833A20"/>
    <w:rsid w:val="008342A7"/>
    <w:rsid w:val="0084217D"/>
    <w:rsid w:val="0085430D"/>
    <w:rsid w:val="00872B9A"/>
    <w:rsid w:val="00894469"/>
    <w:rsid w:val="008C4E5D"/>
    <w:rsid w:val="008C5020"/>
    <w:rsid w:val="008E37B9"/>
    <w:rsid w:val="008F4908"/>
    <w:rsid w:val="00902389"/>
    <w:rsid w:val="0091032C"/>
    <w:rsid w:val="00936476"/>
    <w:rsid w:val="00945267"/>
    <w:rsid w:val="00947B86"/>
    <w:rsid w:val="00957317"/>
    <w:rsid w:val="00966E1E"/>
    <w:rsid w:val="00990A21"/>
    <w:rsid w:val="00993BF0"/>
    <w:rsid w:val="009A3E06"/>
    <w:rsid w:val="009C47C2"/>
    <w:rsid w:val="009C5BC1"/>
    <w:rsid w:val="009F4AE1"/>
    <w:rsid w:val="009F773D"/>
    <w:rsid w:val="00A108EE"/>
    <w:rsid w:val="00A10D61"/>
    <w:rsid w:val="00A12BF3"/>
    <w:rsid w:val="00A261AE"/>
    <w:rsid w:val="00A6554C"/>
    <w:rsid w:val="00A66803"/>
    <w:rsid w:val="00A712E9"/>
    <w:rsid w:val="00A8256D"/>
    <w:rsid w:val="00A8378E"/>
    <w:rsid w:val="00A87AA8"/>
    <w:rsid w:val="00A92F0E"/>
    <w:rsid w:val="00AD09FB"/>
    <w:rsid w:val="00AD3866"/>
    <w:rsid w:val="00AD3DB8"/>
    <w:rsid w:val="00AE4E76"/>
    <w:rsid w:val="00B06CE7"/>
    <w:rsid w:val="00B076D5"/>
    <w:rsid w:val="00B22D80"/>
    <w:rsid w:val="00B255B0"/>
    <w:rsid w:val="00B339FC"/>
    <w:rsid w:val="00B4397C"/>
    <w:rsid w:val="00B51C34"/>
    <w:rsid w:val="00B53C27"/>
    <w:rsid w:val="00B77CF2"/>
    <w:rsid w:val="00BA018B"/>
    <w:rsid w:val="00BA7E7E"/>
    <w:rsid w:val="00BE43F3"/>
    <w:rsid w:val="00BF6164"/>
    <w:rsid w:val="00BF62DF"/>
    <w:rsid w:val="00C01270"/>
    <w:rsid w:val="00C044F9"/>
    <w:rsid w:val="00C07F0D"/>
    <w:rsid w:val="00C13E23"/>
    <w:rsid w:val="00C61E58"/>
    <w:rsid w:val="00C872B0"/>
    <w:rsid w:val="00CC0439"/>
    <w:rsid w:val="00CD200E"/>
    <w:rsid w:val="00CD76CA"/>
    <w:rsid w:val="00D006E8"/>
    <w:rsid w:val="00D11EB5"/>
    <w:rsid w:val="00D130F5"/>
    <w:rsid w:val="00D24555"/>
    <w:rsid w:val="00D44E8C"/>
    <w:rsid w:val="00D47F61"/>
    <w:rsid w:val="00D637BA"/>
    <w:rsid w:val="00D64857"/>
    <w:rsid w:val="00D71F38"/>
    <w:rsid w:val="00D76E2A"/>
    <w:rsid w:val="00D81A57"/>
    <w:rsid w:val="00D91B46"/>
    <w:rsid w:val="00D92687"/>
    <w:rsid w:val="00D9428E"/>
    <w:rsid w:val="00DC4328"/>
    <w:rsid w:val="00DC799F"/>
    <w:rsid w:val="00DD24BF"/>
    <w:rsid w:val="00DE1B00"/>
    <w:rsid w:val="00DE20D6"/>
    <w:rsid w:val="00DE3515"/>
    <w:rsid w:val="00DE4436"/>
    <w:rsid w:val="00DE580C"/>
    <w:rsid w:val="00DF46E7"/>
    <w:rsid w:val="00E066CE"/>
    <w:rsid w:val="00E11BC4"/>
    <w:rsid w:val="00E50E29"/>
    <w:rsid w:val="00E548A1"/>
    <w:rsid w:val="00E62064"/>
    <w:rsid w:val="00E70FFE"/>
    <w:rsid w:val="00E75879"/>
    <w:rsid w:val="00E84EF8"/>
    <w:rsid w:val="00E878F2"/>
    <w:rsid w:val="00E97FF5"/>
    <w:rsid w:val="00EA0188"/>
    <w:rsid w:val="00EA45E0"/>
    <w:rsid w:val="00EB50DF"/>
    <w:rsid w:val="00EC1A2C"/>
    <w:rsid w:val="00EC616F"/>
    <w:rsid w:val="00ED3961"/>
    <w:rsid w:val="00ED6065"/>
    <w:rsid w:val="00EE1F13"/>
    <w:rsid w:val="00EE3DFC"/>
    <w:rsid w:val="00EF23D8"/>
    <w:rsid w:val="00EF282D"/>
    <w:rsid w:val="00F06516"/>
    <w:rsid w:val="00F337CE"/>
    <w:rsid w:val="00F40843"/>
    <w:rsid w:val="00F605AD"/>
    <w:rsid w:val="00F96AFE"/>
    <w:rsid w:val="00FE36CE"/>
    <w:rsid w:val="00FF0C0A"/>
    <w:rsid w:val="00F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E7"/>
    <w:pPr>
      <w:spacing w:after="200" w:line="276" w:lineRule="auto"/>
    </w:pPr>
    <w:rPr>
      <w:rFonts w:cs="Calibri"/>
      <w:lang w:val="es-SV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30A1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594CDD"/>
    <w:pPr>
      <w:widowControl w:val="0"/>
      <w:spacing w:after="0" w:line="240" w:lineRule="auto"/>
    </w:pPr>
    <w:rPr>
      <w:lang w:val="en-US"/>
    </w:rPr>
  </w:style>
  <w:style w:type="paragraph" w:styleId="List">
    <w:name w:val="List"/>
    <w:basedOn w:val="Normal"/>
    <w:uiPriority w:val="99"/>
    <w:semiHidden/>
    <w:rsid w:val="00164682"/>
    <w:pPr>
      <w:widowControl w:val="0"/>
      <w:suppressAutoHyphens/>
      <w:spacing w:after="12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64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4682"/>
  </w:style>
  <w:style w:type="paragraph" w:styleId="Header">
    <w:name w:val="header"/>
    <w:basedOn w:val="Normal"/>
    <w:link w:val="HeaderChar"/>
    <w:uiPriority w:val="99"/>
    <w:semiHidden/>
    <w:rsid w:val="002D3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019"/>
  </w:style>
  <w:style w:type="paragraph" w:styleId="Footer">
    <w:name w:val="footer"/>
    <w:basedOn w:val="Normal"/>
    <w:link w:val="FooterChar"/>
    <w:uiPriority w:val="99"/>
    <w:semiHidden/>
    <w:rsid w:val="002D3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019"/>
  </w:style>
  <w:style w:type="paragraph" w:customStyle="1" w:styleId="Default">
    <w:name w:val="Default"/>
    <w:uiPriority w:val="99"/>
    <w:rsid w:val="00DE443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s-SV" w:eastAsia="en-US"/>
    </w:rPr>
  </w:style>
  <w:style w:type="character" w:styleId="Hyperlink">
    <w:name w:val="Hyperlink"/>
    <w:basedOn w:val="DefaultParagraphFont"/>
    <w:uiPriority w:val="99"/>
    <w:rsid w:val="00D92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ain.rivera@pgr.gob.s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mer.ayala@pgr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1991</Words>
  <Characters>10951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INSTITUCIONAL DE GESTION DOCUMENTAL Y ARCHIVOS DE LA PROCURADURIA GENERAL DE LA REPUBLICA</dc:title>
  <dc:subject/>
  <dc:creator>Coord Archivo</dc:creator>
  <cp:keywords/>
  <dc:description/>
  <cp:lastModifiedBy>Usuario</cp:lastModifiedBy>
  <cp:revision>2</cp:revision>
  <cp:lastPrinted>2017-02-16T20:20:00Z</cp:lastPrinted>
  <dcterms:created xsi:type="dcterms:W3CDTF">2017-02-17T20:34:00Z</dcterms:created>
  <dcterms:modified xsi:type="dcterms:W3CDTF">2017-02-17T20:34:00Z</dcterms:modified>
</cp:coreProperties>
</file>