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A3" w:rsidRPr="00F15C93" w:rsidRDefault="005A05A3" w:rsidP="00FA2519">
      <w:pPr>
        <w:jc w:val="center"/>
        <w:rPr>
          <w:b/>
          <w:bCs/>
        </w:rPr>
      </w:pPr>
      <w:r w:rsidRPr="00F15C93">
        <w:rPr>
          <w:b/>
          <w:bCs/>
        </w:rPr>
        <w:t>PROCEDIMIENTO PARA EL DEPÓSITO O PAGO DE LA CUOTA ALIMENTICIA A TRAVES DE LA PROCURADURIA GENERAL DE LA REPUBLICA</w:t>
      </w:r>
    </w:p>
    <w:p w:rsidR="005A05A3" w:rsidRPr="00F15C93" w:rsidRDefault="005A05A3" w:rsidP="00F15C93">
      <w:pPr>
        <w:jc w:val="both"/>
      </w:pPr>
      <w:r w:rsidRPr="00F15C93">
        <w:t>De acuerdo a la ley, el pago o depósito de las cuotas alimenticias a las cuentas bancarias de la Procuraduría General de la República, por parte del Demandado(a) o Alimentante debe realizarse de la manera siguiente:</w:t>
      </w:r>
    </w:p>
    <w:p w:rsidR="005A05A3" w:rsidRPr="00F15C93" w:rsidRDefault="005A05A3" w:rsidP="00F15C93">
      <w:pPr>
        <w:pStyle w:val="ListParagraph"/>
        <w:numPr>
          <w:ilvl w:val="0"/>
          <w:numId w:val="3"/>
        </w:numPr>
        <w:spacing w:after="160" w:line="259" w:lineRule="auto"/>
        <w:jc w:val="both"/>
      </w:pPr>
      <w:r w:rsidRPr="00F15C93">
        <w:t>Si es pago personal pagará doce cuotas mensuales, o con la periodicidad que determine el Juez o Auxiliar Jurídico de la PGR, más un mes adicional por concepto de aguinaldo si no es asalariado. En caso de recibir sueldo será el 30 % del aguinaldo que le cancele la empresa o institución. En este caso, el demandado, deberá cancelar su  cuota anticipadamente al inicio de cada mes o periodo de pago pactado.</w:t>
      </w:r>
    </w:p>
    <w:p w:rsidR="005A05A3" w:rsidRPr="00F15C93" w:rsidRDefault="005A05A3" w:rsidP="00F15C93">
      <w:pPr>
        <w:pStyle w:val="ListParagraph"/>
        <w:numPr>
          <w:ilvl w:val="0"/>
          <w:numId w:val="3"/>
        </w:numPr>
        <w:spacing w:after="160" w:line="259" w:lineRule="auto"/>
        <w:jc w:val="both"/>
      </w:pPr>
      <w:r w:rsidRPr="00F15C93">
        <w:t>Si es pago por la vía de Orden de Retención o Descuento del Salario, pagará la cuota mensual o con la periodicidad estipulada por el Juez o Auxiliar Jurídico, más el 30 % del aguinaldo que recibirá en Diciembre. Igualmente se le descontará el 30 % por las Prestaciones Sociales, es decir, Vacaciones, Bonificaciones, Indemnizaciones, etc.</w:t>
      </w:r>
    </w:p>
    <w:p w:rsidR="005A05A3" w:rsidRPr="00F15C93" w:rsidRDefault="005A05A3" w:rsidP="00F15C93">
      <w:pPr>
        <w:jc w:val="both"/>
      </w:pPr>
      <w:r w:rsidRPr="00F15C93">
        <w:t xml:space="preserve">Preferentemente, deberá solicitar al Tribunal de Familia, Juzgado de Paz o Auxiliar Jurídico de la PGR, copia del Oficio del Convenio de Fijación o Modificación de la Cuota. Con ello se presentará ante la Unidad Local de Fondos de Terceros de la Procuraduría Auxiliar respectiva, para solicitarle el No. de expediente electrónico y el No. de expediente físico. Si está registrado(a), la persona que le atienda le entregará el No. de cuenta bancaria y Nombre de la cuenta donde deberá depositar su cuota en la Agencia del Banco de Fomento Agropecuario.  </w:t>
      </w:r>
    </w:p>
    <w:p w:rsidR="005A05A3" w:rsidRPr="00F15C93" w:rsidRDefault="005A05A3" w:rsidP="00F15C93">
      <w:pPr>
        <w:jc w:val="both"/>
      </w:pPr>
      <w:r w:rsidRPr="00F15C93">
        <w:t>Al llenar la remesa deberá escribir el No. electrónico o físico del expediente, caso contrario no se le recibirá el deposito en el Banco y lo remitirán a la Procuraduría General de la República. Podrá pagar en efectivo o con cheque de caja.</w:t>
      </w:r>
    </w:p>
    <w:p w:rsidR="005A05A3" w:rsidRPr="00F15C93" w:rsidRDefault="005A05A3" w:rsidP="00F15C93">
      <w:pPr>
        <w:jc w:val="both"/>
      </w:pPr>
      <w:r w:rsidRPr="00F15C93">
        <w:t>Una vez le entreguen la remesa de depósito deberá presentarse a la Unidad Local de Control de Fondos de Terceros, donde entregará la remesa original y a cambio le entregaran un recibo de ingreso con lo cual entra a su historial de pago.</w:t>
      </w:r>
    </w:p>
    <w:p w:rsidR="005A05A3" w:rsidRPr="00F15C93" w:rsidRDefault="005A05A3" w:rsidP="00F15C93">
      <w:pPr>
        <w:jc w:val="both"/>
      </w:pPr>
      <w:bookmarkStart w:id="0" w:name="_GoBack"/>
      <w:bookmarkEnd w:id="0"/>
      <w:r w:rsidRPr="00F15C93">
        <w:t>Caso contrario aunque haya depositado la cuota alimenticia en el Banco,  para la Procuraduría General usted no ha cumplido con su obligación de pago de la cuota alimenticia. Por lo que estará insolvente y se le podría aplicar el artículo 253 A del Código de Familia.</w:t>
      </w:r>
    </w:p>
    <w:p w:rsidR="005A05A3" w:rsidRPr="00F15C93" w:rsidRDefault="005A05A3" w:rsidP="00F15C93">
      <w:pPr>
        <w:jc w:val="both"/>
      </w:pPr>
      <w:r w:rsidRPr="00F15C93">
        <w:t>Si no está registrado, se le entregará un formato para su llenado, anexando copia de DUI y teléfono.</w:t>
      </w:r>
    </w:p>
    <w:tbl>
      <w:tblPr>
        <w:tblW w:w="83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9"/>
        <w:gridCol w:w="1027"/>
        <w:gridCol w:w="2976"/>
        <w:gridCol w:w="2127"/>
      </w:tblGrid>
      <w:tr w:rsidR="005A05A3" w:rsidRPr="00AA653E">
        <w:tc>
          <w:tcPr>
            <w:tcW w:w="2229" w:type="dxa"/>
          </w:tcPr>
          <w:p w:rsidR="005A05A3" w:rsidRPr="00AA653E" w:rsidRDefault="005A05A3" w:rsidP="00AA653E">
            <w:pPr>
              <w:spacing w:after="0" w:line="240" w:lineRule="auto"/>
              <w:jc w:val="both"/>
              <w:rPr>
                <w:sz w:val="16"/>
                <w:szCs w:val="16"/>
              </w:rPr>
            </w:pPr>
            <w:r w:rsidRPr="00AA653E">
              <w:rPr>
                <w:b/>
                <w:bCs/>
                <w:sz w:val="16"/>
                <w:szCs w:val="16"/>
              </w:rPr>
              <w:t>Procuraduría Auxiliar</w:t>
            </w:r>
          </w:p>
        </w:tc>
        <w:tc>
          <w:tcPr>
            <w:tcW w:w="1027" w:type="dxa"/>
          </w:tcPr>
          <w:p w:rsidR="005A05A3" w:rsidRPr="00AA653E" w:rsidRDefault="005A05A3" w:rsidP="00AA653E">
            <w:pPr>
              <w:spacing w:after="0" w:line="240" w:lineRule="auto"/>
              <w:jc w:val="center"/>
              <w:rPr>
                <w:sz w:val="16"/>
                <w:szCs w:val="16"/>
              </w:rPr>
            </w:pPr>
            <w:r w:rsidRPr="00AA653E">
              <w:rPr>
                <w:b/>
                <w:bCs/>
                <w:sz w:val="16"/>
                <w:szCs w:val="16"/>
              </w:rPr>
              <w:t>Teléfono</w:t>
            </w:r>
          </w:p>
        </w:tc>
        <w:tc>
          <w:tcPr>
            <w:tcW w:w="2976" w:type="dxa"/>
          </w:tcPr>
          <w:p w:rsidR="005A05A3" w:rsidRPr="00AA653E" w:rsidRDefault="005A05A3" w:rsidP="00AA653E">
            <w:pPr>
              <w:spacing w:after="0" w:line="240" w:lineRule="auto"/>
              <w:jc w:val="both"/>
              <w:rPr>
                <w:sz w:val="16"/>
                <w:szCs w:val="16"/>
              </w:rPr>
            </w:pPr>
            <w:r w:rsidRPr="00AA653E">
              <w:rPr>
                <w:b/>
                <w:bCs/>
                <w:sz w:val="16"/>
                <w:szCs w:val="16"/>
              </w:rPr>
              <w:t>Procuraduría Auxiliar</w:t>
            </w:r>
          </w:p>
        </w:tc>
        <w:tc>
          <w:tcPr>
            <w:tcW w:w="2127" w:type="dxa"/>
          </w:tcPr>
          <w:p w:rsidR="005A05A3" w:rsidRPr="00AA653E" w:rsidRDefault="005A05A3" w:rsidP="00AA653E">
            <w:pPr>
              <w:spacing w:after="0" w:line="240" w:lineRule="auto"/>
              <w:jc w:val="center"/>
              <w:rPr>
                <w:sz w:val="16"/>
                <w:szCs w:val="16"/>
              </w:rPr>
            </w:pPr>
            <w:r w:rsidRPr="00AA653E">
              <w:rPr>
                <w:b/>
                <w:bCs/>
                <w:sz w:val="16"/>
                <w:szCs w:val="16"/>
              </w:rPr>
              <w:t>Teléfono</w:t>
            </w:r>
          </w:p>
        </w:tc>
      </w:tr>
      <w:tr w:rsidR="005A05A3" w:rsidRPr="00AA653E">
        <w:tc>
          <w:tcPr>
            <w:tcW w:w="2229" w:type="dxa"/>
          </w:tcPr>
          <w:p w:rsidR="005A05A3" w:rsidRPr="00AA653E" w:rsidRDefault="005A05A3" w:rsidP="00AA653E">
            <w:pPr>
              <w:spacing w:after="0" w:line="240" w:lineRule="auto"/>
              <w:jc w:val="both"/>
              <w:rPr>
                <w:sz w:val="16"/>
                <w:szCs w:val="16"/>
              </w:rPr>
            </w:pPr>
            <w:r w:rsidRPr="00AA653E">
              <w:rPr>
                <w:sz w:val="16"/>
                <w:szCs w:val="16"/>
              </w:rPr>
              <w:t>Santa Ana</w:t>
            </w:r>
          </w:p>
        </w:tc>
        <w:tc>
          <w:tcPr>
            <w:tcW w:w="1027" w:type="dxa"/>
          </w:tcPr>
          <w:p w:rsidR="005A05A3" w:rsidRPr="00AA653E" w:rsidRDefault="005A05A3" w:rsidP="00AA653E">
            <w:pPr>
              <w:spacing w:after="0" w:line="240" w:lineRule="auto"/>
              <w:jc w:val="center"/>
              <w:rPr>
                <w:sz w:val="16"/>
                <w:szCs w:val="16"/>
              </w:rPr>
            </w:pPr>
            <w:r w:rsidRPr="00AA653E">
              <w:rPr>
                <w:sz w:val="16"/>
                <w:szCs w:val="16"/>
              </w:rPr>
              <w:t>24412787</w:t>
            </w:r>
          </w:p>
        </w:tc>
        <w:tc>
          <w:tcPr>
            <w:tcW w:w="2976" w:type="dxa"/>
          </w:tcPr>
          <w:p w:rsidR="005A05A3" w:rsidRPr="00AA653E" w:rsidRDefault="005A05A3" w:rsidP="00AA653E">
            <w:pPr>
              <w:spacing w:after="0" w:line="240" w:lineRule="auto"/>
              <w:jc w:val="both"/>
              <w:rPr>
                <w:sz w:val="16"/>
                <w:szCs w:val="16"/>
              </w:rPr>
            </w:pPr>
            <w:r w:rsidRPr="00AA653E">
              <w:rPr>
                <w:sz w:val="16"/>
                <w:szCs w:val="16"/>
              </w:rPr>
              <w:t>Cojutepeque</w:t>
            </w:r>
          </w:p>
        </w:tc>
        <w:tc>
          <w:tcPr>
            <w:tcW w:w="2127" w:type="dxa"/>
          </w:tcPr>
          <w:p w:rsidR="005A05A3" w:rsidRPr="00AA653E" w:rsidRDefault="005A05A3" w:rsidP="00AA653E">
            <w:pPr>
              <w:spacing w:after="0" w:line="240" w:lineRule="auto"/>
              <w:jc w:val="center"/>
              <w:rPr>
                <w:sz w:val="16"/>
                <w:szCs w:val="16"/>
              </w:rPr>
            </w:pPr>
            <w:r w:rsidRPr="00AA653E">
              <w:rPr>
                <w:sz w:val="16"/>
                <w:szCs w:val="16"/>
              </w:rPr>
              <w:t>23725724</w:t>
            </w:r>
          </w:p>
        </w:tc>
      </w:tr>
      <w:tr w:rsidR="005A05A3" w:rsidRPr="00AA653E">
        <w:tc>
          <w:tcPr>
            <w:tcW w:w="2229" w:type="dxa"/>
          </w:tcPr>
          <w:p w:rsidR="005A05A3" w:rsidRPr="00AA653E" w:rsidRDefault="005A05A3" w:rsidP="00AA653E">
            <w:pPr>
              <w:spacing w:after="0" w:line="240" w:lineRule="auto"/>
              <w:jc w:val="both"/>
              <w:rPr>
                <w:sz w:val="16"/>
                <w:szCs w:val="16"/>
              </w:rPr>
            </w:pPr>
            <w:r w:rsidRPr="00AA653E">
              <w:rPr>
                <w:sz w:val="16"/>
                <w:szCs w:val="16"/>
              </w:rPr>
              <w:t>Sonsonate</w:t>
            </w:r>
          </w:p>
        </w:tc>
        <w:tc>
          <w:tcPr>
            <w:tcW w:w="1027" w:type="dxa"/>
          </w:tcPr>
          <w:p w:rsidR="005A05A3" w:rsidRPr="00AA653E" w:rsidRDefault="005A05A3" w:rsidP="00AA653E">
            <w:pPr>
              <w:spacing w:after="0" w:line="240" w:lineRule="auto"/>
              <w:jc w:val="center"/>
              <w:rPr>
                <w:sz w:val="16"/>
                <w:szCs w:val="16"/>
              </w:rPr>
            </w:pPr>
            <w:r w:rsidRPr="00AA653E">
              <w:rPr>
                <w:sz w:val="16"/>
                <w:szCs w:val="16"/>
              </w:rPr>
              <w:t>24510841</w:t>
            </w:r>
          </w:p>
        </w:tc>
        <w:tc>
          <w:tcPr>
            <w:tcW w:w="2976" w:type="dxa"/>
          </w:tcPr>
          <w:p w:rsidR="005A05A3" w:rsidRPr="00AA653E" w:rsidRDefault="005A05A3" w:rsidP="00AA653E">
            <w:pPr>
              <w:spacing w:after="0" w:line="240" w:lineRule="auto"/>
              <w:jc w:val="both"/>
              <w:rPr>
                <w:sz w:val="16"/>
                <w:szCs w:val="16"/>
              </w:rPr>
            </w:pPr>
            <w:r w:rsidRPr="00AA653E">
              <w:rPr>
                <w:sz w:val="16"/>
                <w:szCs w:val="16"/>
              </w:rPr>
              <w:t>San Vicente</w:t>
            </w:r>
          </w:p>
        </w:tc>
        <w:tc>
          <w:tcPr>
            <w:tcW w:w="2127" w:type="dxa"/>
          </w:tcPr>
          <w:p w:rsidR="005A05A3" w:rsidRPr="00AA653E" w:rsidRDefault="005A05A3" w:rsidP="00AA653E">
            <w:pPr>
              <w:spacing w:after="0" w:line="240" w:lineRule="auto"/>
              <w:jc w:val="center"/>
              <w:rPr>
                <w:sz w:val="16"/>
                <w:szCs w:val="16"/>
              </w:rPr>
            </w:pPr>
            <w:r w:rsidRPr="00AA653E">
              <w:rPr>
                <w:sz w:val="16"/>
                <w:szCs w:val="16"/>
              </w:rPr>
              <w:t>23930430</w:t>
            </w:r>
          </w:p>
        </w:tc>
      </w:tr>
      <w:tr w:rsidR="005A05A3" w:rsidRPr="00AA653E">
        <w:tc>
          <w:tcPr>
            <w:tcW w:w="2229" w:type="dxa"/>
          </w:tcPr>
          <w:p w:rsidR="005A05A3" w:rsidRPr="00AA653E" w:rsidRDefault="005A05A3" w:rsidP="00AA653E">
            <w:pPr>
              <w:spacing w:after="0" w:line="240" w:lineRule="auto"/>
              <w:jc w:val="both"/>
              <w:rPr>
                <w:sz w:val="16"/>
                <w:szCs w:val="16"/>
              </w:rPr>
            </w:pPr>
            <w:r w:rsidRPr="00AA653E">
              <w:rPr>
                <w:sz w:val="16"/>
                <w:szCs w:val="16"/>
              </w:rPr>
              <w:t>Ahuachapán</w:t>
            </w:r>
          </w:p>
        </w:tc>
        <w:tc>
          <w:tcPr>
            <w:tcW w:w="1027" w:type="dxa"/>
          </w:tcPr>
          <w:p w:rsidR="005A05A3" w:rsidRPr="00AA653E" w:rsidRDefault="005A05A3" w:rsidP="00AA653E">
            <w:pPr>
              <w:spacing w:after="0" w:line="240" w:lineRule="auto"/>
              <w:jc w:val="center"/>
              <w:rPr>
                <w:sz w:val="16"/>
                <w:szCs w:val="16"/>
              </w:rPr>
            </w:pPr>
            <w:r w:rsidRPr="00AA653E">
              <w:rPr>
                <w:sz w:val="16"/>
                <w:szCs w:val="16"/>
              </w:rPr>
              <w:t>24134346</w:t>
            </w:r>
          </w:p>
        </w:tc>
        <w:tc>
          <w:tcPr>
            <w:tcW w:w="2976" w:type="dxa"/>
          </w:tcPr>
          <w:p w:rsidR="005A05A3" w:rsidRPr="00AA653E" w:rsidRDefault="005A05A3" w:rsidP="00AA653E">
            <w:pPr>
              <w:spacing w:after="0" w:line="240" w:lineRule="auto"/>
              <w:jc w:val="both"/>
              <w:rPr>
                <w:sz w:val="16"/>
                <w:szCs w:val="16"/>
              </w:rPr>
            </w:pPr>
            <w:r w:rsidRPr="00AA653E">
              <w:rPr>
                <w:sz w:val="16"/>
                <w:szCs w:val="16"/>
              </w:rPr>
              <w:t>Sensuntepeque</w:t>
            </w:r>
          </w:p>
        </w:tc>
        <w:tc>
          <w:tcPr>
            <w:tcW w:w="2127" w:type="dxa"/>
          </w:tcPr>
          <w:p w:rsidR="005A05A3" w:rsidRPr="00AA653E" w:rsidRDefault="005A05A3" w:rsidP="00AA653E">
            <w:pPr>
              <w:spacing w:after="0" w:line="240" w:lineRule="auto"/>
              <w:jc w:val="center"/>
              <w:rPr>
                <w:sz w:val="16"/>
                <w:szCs w:val="16"/>
              </w:rPr>
            </w:pPr>
            <w:r w:rsidRPr="00AA653E">
              <w:rPr>
                <w:sz w:val="16"/>
                <w:szCs w:val="16"/>
              </w:rPr>
              <w:t>23823159</w:t>
            </w:r>
          </w:p>
        </w:tc>
      </w:tr>
      <w:tr w:rsidR="005A05A3" w:rsidRPr="00AA653E">
        <w:tc>
          <w:tcPr>
            <w:tcW w:w="2229" w:type="dxa"/>
          </w:tcPr>
          <w:p w:rsidR="005A05A3" w:rsidRPr="00AA653E" w:rsidRDefault="005A05A3" w:rsidP="00AA653E">
            <w:pPr>
              <w:spacing w:after="0" w:line="240" w:lineRule="auto"/>
              <w:jc w:val="both"/>
              <w:rPr>
                <w:sz w:val="16"/>
                <w:szCs w:val="16"/>
              </w:rPr>
            </w:pPr>
            <w:r w:rsidRPr="00AA653E">
              <w:rPr>
                <w:sz w:val="16"/>
                <w:szCs w:val="16"/>
              </w:rPr>
              <w:t>Chalatenango</w:t>
            </w:r>
          </w:p>
        </w:tc>
        <w:tc>
          <w:tcPr>
            <w:tcW w:w="1027" w:type="dxa"/>
          </w:tcPr>
          <w:p w:rsidR="005A05A3" w:rsidRPr="00AA653E" w:rsidRDefault="005A05A3" w:rsidP="00AA653E">
            <w:pPr>
              <w:spacing w:after="0" w:line="240" w:lineRule="auto"/>
              <w:jc w:val="center"/>
              <w:rPr>
                <w:sz w:val="16"/>
                <w:szCs w:val="16"/>
              </w:rPr>
            </w:pPr>
            <w:r w:rsidRPr="00AA653E">
              <w:rPr>
                <w:sz w:val="16"/>
                <w:szCs w:val="16"/>
              </w:rPr>
              <w:t>23010925</w:t>
            </w:r>
          </w:p>
        </w:tc>
        <w:tc>
          <w:tcPr>
            <w:tcW w:w="2976" w:type="dxa"/>
          </w:tcPr>
          <w:p w:rsidR="005A05A3" w:rsidRPr="00AA653E" w:rsidRDefault="005A05A3" w:rsidP="00AA653E">
            <w:pPr>
              <w:spacing w:after="0" w:line="240" w:lineRule="auto"/>
              <w:jc w:val="both"/>
              <w:rPr>
                <w:sz w:val="16"/>
                <w:szCs w:val="16"/>
              </w:rPr>
            </w:pPr>
            <w:r w:rsidRPr="00AA653E">
              <w:rPr>
                <w:sz w:val="16"/>
                <w:szCs w:val="16"/>
              </w:rPr>
              <w:t>Gotera</w:t>
            </w:r>
          </w:p>
        </w:tc>
        <w:tc>
          <w:tcPr>
            <w:tcW w:w="2127" w:type="dxa"/>
          </w:tcPr>
          <w:p w:rsidR="005A05A3" w:rsidRPr="00AA653E" w:rsidRDefault="005A05A3" w:rsidP="00AA653E">
            <w:pPr>
              <w:spacing w:after="0" w:line="240" w:lineRule="auto"/>
              <w:jc w:val="center"/>
              <w:rPr>
                <w:sz w:val="16"/>
                <w:szCs w:val="16"/>
              </w:rPr>
            </w:pPr>
            <w:r w:rsidRPr="00AA653E">
              <w:rPr>
                <w:sz w:val="16"/>
                <w:szCs w:val="16"/>
              </w:rPr>
              <w:t>26543167</w:t>
            </w:r>
          </w:p>
        </w:tc>
      </w:tr>
      <w:tr w:rsidR="005A05A3" w:rsidRPr="00AA653E">
        <w:tc>
          <w:tcPr>
            <w:tcW w:w="2229" w:type="dxa"/>
          </w:tcPr>
          <w:p w:rsidR="005A05A3" w:rsidRPr="00AA653E" w:rsidRDefault="005A05A3" w:rsidP="00AA653E">
            <w:pPr>
              <w:spacing w:after="0" w:line="240" w:lineRule="auto"/>
              <w:jc w:val="both"/>
              <w:rPr>
                <w:sz w:val="16"/>
                <w:szCs w:val="16"/>
              </w:rPr>
            </w:pPr>
            <w:r w:rsidRPr="00AA653E">
              <w:rPr>
                <w:sz w:val="16"/>
                <w:szCs w:val="16"/>
              </w:rPr>
              <w:t>Zacatecoluca</w:t>
            </w:r>
          </w:p>
        </w:tc>
        <w:tc>
          <w:tcPr>
            <w:tcW w:w="1027" w:type="dxa"/>
          </w:tcPr>
          <w:p w:rsidR="005A05A3" w:rsidRPr="00AA653E" w:rsidRDefault="005A05A3" w:rsidP="00AA653E">
            <w:pPr>
              <w:spacing w:after="0" w:line="240" w:lineRule="auto"/>
              <w:jc w:val="center"/>
              <w:rPr>
                <w:sz w:val="16"/>
                <w:szCs w:val="16"/>
              </w:rPr>
            </w:pPr>
            <w:r w:rsidRPr="00AA653E">
              <w:rPr>
                <w:sz w:val="16"/>
                <w:szCs w:val="16"/>
              </w:rPr>
              <w:t>23342051</w:t>
            </w:r>
          </w:p>
        </w:tc>
        <w:tc>
          <w:tcPr>
            <w:tcW w:w="2976" w:type="dxa"/>
          </w:tcPr>
          <w:p w:rsidR="005A05A3" w:rsidRPr="00AA653E" w:rsidRDefault="005A05A3" w:rsidP="00AA653E">
            <w:pPr>
              <w:spacing w:after="0" w:line="240" w:lineRule="auto"/>
              <w:jc w:val="both"/>
              <w:rPr>
                <w:sz w:val="16"/>
                <w:szCs w:val="16"/>
              </w:rPr>
            </w:pPr>
            <w:r w:rsidRPr="00AA653E">
              <w:rPr>
                <w:sz w:val="16"/>
                <w:szCs w:val="16"/>
              </w:rPr>
              <w:t>Santa Tecla</w:t>
            </w:r>
          </w:p>
        </w:tc>
        <w:tc>
          <w:tcPr>
            <w:tcW w:w="2127" w:type="dxa"/>
          </w:tcPr>
          <w:p w:rsidR="005A05A3" w:rsidRPr="00AA653E" w:rsidRDefault="005A05A3" w:rsidP="00AA653E">
            <w:pPr>
              <w:spacing w:after="0" w:line="240" w:lineRule="auto"/>
              <w:jc w:val="center"/>
              <w:rPr>
                <w:sz w:val="16"/>
                <w:szCs w:val="16"/>
              </w:rPr>
            </w:pPr>
            <w:r w:rsidRPr="00AA653E">
              <w:rPr>
                <w:sz w:val="16"/>
                <w:szCs w:val="16"/>
              </w:rPr>
              <w:t>22289910</w:t>
            </w:r>
          </w:p>
        </w:tc>
      </w:tr>
      <w:tr w:rsidR="005A05A3" w:rsidRPr="00AA653E">
        <w:tc>
          <w:tcPr>
            <w:tcW w:w="2229" w:type="dxa"/>
          </w:tcPr>
          <w:p w:rsidR="005A05A3" w:rsidRPr="00AA653E" w:rsidRDefault="005A05A3" w:rsidP="00AA653E">
            <w:pPr>
              <w:spacing w:after="0" w:line="240" w:lineRule="auto"/>
              <w:jc w:val="both"/>
              <w:rPr>
                <w:sz w:val="16"/>
                <w:szCs w:val="16"/>
              </w:rPr>
            </w:pPr>
            <w:r w:rsidRPr="00AA653E">
              <w:rPr>
                <w:sz w:val="16"/>
                <w:szCs w:val="16"/>
              </w:rPr>
              <w:t>Usulután</w:t>
            </w:r>
          </w:p>
        </w:tc>
        <w:tc>
          <w:tcPr>
            <w:tcW w:w="1027" w:type="dxa"/>
          </w:tcPr>
          <w:p w:rsidR="005A05A3" w:rsidRPr="00AA653E" w:rsidRDefault="005A05A3" w:rsidP="00AA653E">
            <w:pPr>
              <w:spacing w:after="0" w:line="240" w:lineRule="auto"/>
              <w:jc w:val="center"/>
              <w:rPr>
                <w:sz w:val="16"/>
                <w:szCs w:val="16"/>
              </w:rPr>
            </w:pPr>
            <w:r w:rsidRPr="00AA653E">
              <w:rPr>
                <w:sz w:val="16"/>
                <w:szCs w:val="16"/>
              </w:rPr>
              <w:t>26624060</w:t>
            </w:r>
          </w:p>
        </w:tc>
        <w:tc>
          <w:tcPr>
            <w:tcW w:w="2976" w:type="dxa"/>
          </w:tcPr>
          <w:p w:rsidR="005A05A3" w:rsidRPr="00AA653E" w:rsidRDefault="005A05A3" w:rsidP="00AA653E">
            <w:pPr>
              <w:spacing w:after="0" w:line="240" w:lineRule="auto"/>
              <w:jc w:val="both"/>
              <w:rPr>
                <w:sz w:val="16"/>
                <w:szCs w:val="16"/>
              </w:rPr>
            </w:pPr>
            <w:r w:rsidRPr="00AA653E">
              <w:rPr>
                <w:sz w:val="16"/>
                <w:szCs w:val="16"/>
              </w:rPr>
              <w:t>Metapán</w:t>
            </w:r>
          </w:p>
        </w:tc>
        <w:tc>
          <w:tcPr>
            <w:tcW w:w="2127" w:type="dxa"/>
          </w:tcPr>
          <w:p w:rsidR="005A05A3" w:rsidRPr="00AA653E" w:rsidRDefault="005A05A3" w:rsidP="00AA653E">
            <w:pPr>
              <w:spacing w:after="0" w:line="240" w:lineRule="auto"/>
              <w:jc w:val="center"/>
              <w:rPr>
                <w:sz w:val="16"/>
                <w:szCs w:val="16"/>
              </w:rPr>
            </w:pPr>
            <w:r w:rsidRPr="00AA653E">
              <w:rPr>
                <w:sz w:val="16"/>
                <w:szCs w:val="16"/>
              </w:rPr>
              <w:t>24021230</w:t>
            </w:r>
          </w:p>
        </w:tc>
      </w:tr>
      <w:tr w:rsidR="005A05A3" w:rsidRPr="00AA653E">
        <w:tc>
          <w:tcPr>
            <w:tcW w:w="2229" w:type="dxa"/>
          </w:tcPr>
          <w:p w:rsidR="005A05A3" w:rsidRPr="00AA653E" w:rsidRDefault="005A05A3" w:rsidP="00AA653E">
            <w:pPr>
              <w:spacing w:after="0" w:line="240" w:lineRule="auto"/>
              <w:jc w:val="both"/>
              <w:rPr>
                <w:sz w:val="16"/>
                <w:szCs w:val="16"/>
              </w:rPr>
            </w:pPr>
            <w:r w:rsidRPr="00AA653E">
              <w:rPr>
                <w:sz w:val="16"/>
                <w:szCs w:val="16"/>
              </w:rPr>
              <w:t>San Miguel</w:t>
            </w:r>
          </w:p>
        </w:tc>
        <w:tc>
          <w:tcPr>
            <w:tcW w:w="1027" w:type="dxa"/>
          </w:tcPr>
          <w:p w:rsidR="005A05A3" w:rsidRPr="00AA653E" w:rsidRDefault="005A05A3" w:rsidP="00AA653E">
            <w:pPr>
              <w:spacing w:after="0" w:line="240" w:lineRule="auto"/>
              <w:jc w:val="center"/>
              <w:rPr>
                <w:sz w:val="16"/>
                <w:szCs w:val="16"/>
              </w:rPr>
            </w:pPr>
            <w:r w:rsidRPr="00AA653E">
              <w:rPr>
                <w:sz w:val="16"/>
                <w:szCs w:val="16"/>
              </w:rPr>
              <w:t>26617147</w:t>
            </w:r>
          </w:p>
        </w:tc>
        <w:tc>
          <w:tcPr>
            <w:tcW w:w="2976" w:type="dxa"/>
          </w:tcPr>
          <w:p w:rsidR="005A05A3" w:rsidRPr="00AA653E" w:rsidRDefault="005A05A3" w:rsidP="00AA653E">
            <w:pPr>
              <w:spacing w:after="0" w:line="240" w:lineRule="auto"/>
              <w:jc w:val="both"/>
              <w:rPr>
                <w:sz w:val="16"/>
                <w:szCs w:val="16"/>
              </w:rPr>
            </w:pPr>
            <w:r w:rsidRPr="00AA653E">
              <w:rPr>
                <w:sz w:val="16"/>
                <w:szCs w:val="16"/>
              </w:rPr>
              <w:t>San Salvador</w:t>
            </w:r>
          </w:p>
        </w:tc>
        <w:tc>
          <w:tcPr>
            <w:tcW w:w="2127" w:type="dxa"/>
          </w:tcPr>
          <w:p w:rsidR="005A05A3" w:rsidRPr="00AA653E" w:rsidRDefault="005A05A3" w:rsidP="00AA653E">
            <w:pPr>
              <w:spacing w:after="0" w:line="240" w:lineRule="auto"/>
              <w:jc w:val="center"/>
              <w:rPr>
                <w:sz w:val="16"/>
                <w:szCs w:val="16"/>
              </w:rPr>
            </w:pPr>
            <w:r w:rsidRPr="00AA653E">
              <w:rPr>
                <w:sz w:val="16"/>
                <w:szCs w:val="16"/>
              </w:rPr>
              <w:t>22319483 Y22319479</w:t>
            </w:r>
          </w:p>
        </w:tc>
      </w:tr>
      <w:tr w:rsidR="005A05A3" w:rsidRPr="00AA653E">
        <w:trPr>
          <w:gridAfter w:val="2"/>
          <w:wAfter w:w="5103" w:type="dxa"/>
        </w:trPr>
        <w:tc>
          <w:tcPr>
            <w:tcW w:w="2229" w:type="dxa"/>
          </w:tcPr>
          <w:p w:rsidR="005A05A3" w:rsidRPr="00AA653E" w:rsidRDefault="005A05A3" w:rsidP="00AA653E">
            <w:pPr>
              <w:spacing w:after="0" w:line="240" w:lineRule="auto"/>
              <w:jc w:val="both"/>
              <w:rPr>
                <w:sz w:val="16"/>
                <w:szCs w:val="16"/>
              </w:rPr>
            </w:pPr>
            <w:r w:rsidRPr="00AA653E">
              <w:rPr>
                <w:sz w:val="16"/>
                <w:szCs w:val="16"/>
              </w:rPr>
              <w:t>La Unión</w:t>
            </w:r>
          </w:p>
        </w:tc>
        <w:tc>
          <w:tcPr>
            <w:tcW w:w="1027" w:type="dxa"/>
          </w:tcPr>
          <w:p w:rsidR="005A05A3" w:rsidRPr="00AA653E" w:rsidRDefault="005A05A3" w:rsidP="00AA653E">
            <w:pPr>
              <w:spacing w:after="0" w:line="240" w:lineRule="auto"/>
              <w:jc w:val="center"/>
              <w:rPr>
                <w:sz w:val="16"/>
                <w:szCs w:val="16"/>
              </w:rPr>
            </w:pPr>
            <w:r w:rsidRPr="00AA653E">
              <w:rPr>
                <w:sz w:val="16"/>
                <w:szCs w:val="16"/>
              </w:rPr>
              <w:t>26042308</w:t>
            </w:r>
          </w:p>
        </w:tc>
      </w:tr>
    </w:tbl>
    <w:p w:rsidR="005A05A3" w:rsidRPr="00F15C93" w:rsidRDefault="005A05A3">
      <w:pPr>
        <w:rPr>
          <w:lang w:val="es-ES"/>
        </w:rPr>
      </w:pPr>
    </w:p>
    <w:sectPr w:rsidR="005A05A3" w:rsidRPr="00F15C93" w:rsidSect="00FA2519">
      <w:pgSz w:w="12240" w:h="15840"/>
      <w:pgMar w:top="1417" w:right="1701"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5BE3"/>
    <w:multiLevelType w:val="hybridMultilevel"/>
    <w:tmpl w:val="D9CC28DE"/>
    <w:lvl w:ilvl="0" w:tplc="440A000F">
      <w:start w:val="1"/>
      <w:numFmt w:val="decimal"/>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
    <w:nsid w:val="45470468"/>
    <w:multiLevelType w:val="hybridMultilevel"/>
    <w:tmpl w:val="88C0900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nsid w:val="63737889"/>
    <w:multiLevelType w:val="hybridMultilevel"/>
    <w:tmpl w:val="09D48A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C93"/>
    <w:rsid w:val="000769A3"/>
    <w:rsid w:val="00396C80"/>
    <w:rsid w:val="00560352"/>
    <w:rsid w:val="005A05A3"/>
    <w:rsid w:val="00645161"/>
    <w:rsid w:val="007573A1"/>
    <w:rsid w:val="007A2ECB"/>
    <w:rsid w:val="00905217"/>
    <w:rsid w:val="00942C0C"/>
    <w:rsid w:val="00A6033C"/>
    <w:rsid w:val="00AA653E"/>
    <w:rsid w:val="00AD421F"/>
    <w:rsid w:val="00EB49B2"/>
    <w:rsid w:val="00F15C93"/>
    <w:rsid w:val="00F20FEF"/>
    <w:rsid w:val="00FA251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93"/>
    <w:pPr>
      <w:spacing w:after="200" w:line="276" w:lineRule="auto"/>
    </w:pPr>
    <w:rPr>
      <w:rFonts w:cs="Calibri"/>
      <w:lang w:val="es-SV"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5C93"/>
    <w:pPr>
      <w:ind w:left="720"/>
    </w:pPr>
  </w:style>
  <w:style w:type="table" w:styleId="TableGrid">
    <w:name w:val="Table Grid"/>
    <w:basedOn w:val="TableNormal"/>
    <w:uiPriority w:val="99"/>
    <w:rsid w:val="00F15C9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439</Words>
  <Characters>2417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Y TRAMITES QUE OFRECE LA COORDINACION DE FONDOS DE TERCEROS </dc:title>
  <dc:subject/>
  <dc:creator>pgr-usuario</dc:creator>
  <cp:keywords/>
  <dc:description/>
  <cp:lastModifiedBy>Usuario</cp:lastModifiedBy>
  <cp:revision>3</cp:revision>
  <dcterms:created xsi:type="dcterms:W3CDTF">2017-04-19T22:49:00Z</dcterms:created>
  <dcterms:modified xsi:type="dcterms:W3CDTF">2017-04-19T22:50:00Z</dcterms:modified>
</cp:coreProperties>
</file>